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/>
          <w:sz w:val="2"/>
          <w:szCs w:val="24"/>
        </w:rPr>
        <w:id w:val="-1300458935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6684D358" w14:textId="77777777" w:rsidR="000C1859" w:rsidRDefault="000C1859" w:rsidP="000C1859">
          <w:pPr>
            <w:pStyle w:val="NoSpacing"/>
            <w:rPr>
              <w:sz w:val="2"/>
            </w:rPr>
          </w:pPr>
        </w:p>
        <w:p w14:paraId="10ACC6B1" w14:textId="77777777" w:rsidR="000C1859" w:rsidRDefault="00A512AC" w:rsidP="000C185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152C44A" wp14:editId="2F40F944">
                    <wp:simplePos x="0" y="0"/>
                    <wp:positionH relativeFrom="page">
                      <wp:posOffset>231140</wp:posOffset>
                    </wp:positionH>
                    <wp:positionV relativeFrom="margin">
                      <wp:posOffset>62865</wp:posOffset>
                    </wp:positionV>
                    <wp:extent cx="7077075" cy="5724525"/>
                    <wp:effectExtent l="0" t="0" r="0" b="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77075" cy="5724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A6FD33" w14:textId="77777777" w:rsidR="000C1859" w:rsidRPr="007544F1" w:rsidRDefault="0000012A" w:rsidP="000C1859">
                                <w:pPr>
                                  <w:jc w:val="right"/>
                                  <w:rPr>
                                    <w:b/>
                                    <w:sz w:val="28"/>
                                    <w:szCs w:val="28"/>
                                    <w:lang w:val="de-DE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8496B0" w:themeColor="text2" w:themeTint="99"/>
                                      <w:sz w:val="52"/>
                                      <w:szCs w:val="52"/>
                                      <w:lang w:val="de-DE"/>
                                    </w:rPr>
                                    <w:alias w:val="Title"/>
                                    <w:tag w:val=""/>
                                    <w:id w:val="797192764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C1859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52"/>
                                        <w:szCs w:val="52"/>
                                        <w:lang w:val="de-DE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0C1859" w:rsidRPr="00026753">
                                  <w:rPr>
                                    <w:b/>
                                    <w:sz w:val="28"/>
                                    <w:szCs w:val="28"/>
                                    <w:lang w:val="de-DE"/>
                                  </w:rPr>
                                  <w:t xml:space="preserve"> </w:t>
                                </w:r>
                                <w:r w:rsidR="000C1859">
                                  <w:object w:dxaOrig="1290" w:dyaOrig="1335" w14:anchorId="4F51B1F8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78.7pt;height:75.35pt">
                                      <v:imagedata r:id="rId8" o:title=""/>
                                    </v:shape>
                                    <o:OLEObject Type="Embed" ProgID="MSPhotoEd.3" ShapeID="_x0000_i1026" DrawAspect="Content" ObjectID="_1794634648" r:id="rId9"/>
                                  </w:object>
                                </w:r>
                              </w:p>
                              <w:p w14:paraId="0F4C71C9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lang w:val="de-DE"/>
                                  </w:rPr>
                                </w:pP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56"/>
                                    <w:szCs w:val="56"/>
                                    <w:lang w:val="de-DE"/>
                                  </w:rPr>
                                  <w:t>Republika e Kosovës</w:t>
                                </w: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lang w:val="de-DE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                            </w:t>
                                </w: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52"/>
                                    <w:szCs w:val="52"/>
                                    <w:lang w:val="de-DE"/>
                                  </w:rPr>
                                  <w:t>Republika Kosovo / Republic of Kosovo</w:t>
                                </w:r>
                              </w:p>
                              <w:p w14:paraId="02B5E0D9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28"/>
                                    <w:szCs w:val="28"/>
                                    <w:lang w:val="sq-AL"/>
                                  </w:rPr>
                                </w:pPr>
                              </w:p>
                              <w:p w14:paraId="167F9A7C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28"/>
                                    <w:szCs w:val="28"/>
                                    <w:lang w:val="sq-AL"/>
                                  </w:rPr>
                                </w:pPr>
                              </w:p>
                              <w:p w14:paraId="38563CA0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28"/>
                                    <w:szCs w:val="28"/>
                                    <w:lang w:val="sq-AL"/>
                                  </w:rPr>
                                </w:pPr>
                              </w:p>
                              <w:p w14:paraId="5F608BBB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28"/>
                                    <w:szCs w:val="28"/>
                                    <w:lang w:val="sq-AL"/>
                                  </w:rPr>
                                </w:pPr>
                              </w:p>
                              <w:p w14:paraId="15DD7B53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b/>
                                    <w:color w:val="2E74B5" w:themeColor="accent1" w:themeShade="BF"/>
                                    <w:sz w:val="28"/>
                                    <w:szCs w:val="28"/>
                                    <w:lang w:val="sq-AL"/>
                                  </w:rPr>
                                </w:pPr>
                              </w:p>
                              <w:p w14:paraId="6CD0D253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48"/>
                                    <w:szCs w:val="48"/>
                                    <w:lang w:val="sq-AL"/>
                                  </w:rPr>
                                </w:pP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48"/>
                                    <w:szCs w:val="48"/>
                                    <w:lang w:val="sq-AL"/>
                                  </w:rPr>
                                  <w:t>Drejtoria për Buxhet dhe Financa</w:t>
                                </w:r>
                              </w:p>
                              <w:p w14:paraId="2221BCAE" w14:textId="77777777" w:rsidR="000C1859" w:rsidRPr="004A61EA" w:rsidRDefault="000C1859" w:rsidP="000C185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</w:pP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>Odelenje za Bud</w:t>
                                </w: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r-Latn-RS"/>
                                  </w:rPr>
                                  <w:t>žet i Finansije</w:t>
                                </w:r>
                                <w:r w:rsidRPr="004A61EA">
                                  <w:rPr>
                                    <w:rFonts w:asciiTheme="majorHAnsi" w:hAnsiTheme="majorHAnsi"/>
                                    <w:b/>
                                    <w:color w:val="2E74B5" w:themeColor="accent1" w:themeShade="BF"/>
                                    <w:sz w:val="32"/>
                                    <w:szCs w:val="32"/>
                                    <w:lang w:val="sq-AL"/>
                                  </w:rPr>
                                  <w:t>-Departament of Budget and Finance</w:t>
                                </w:r>
                              </w:p>
                              <w:p w14:paraId="035022E0" w14:textId="77777777" w:rsidR="000C1859" w:rsidRPr="004A61EA" w:rsidRDefault="000C1859" w:rsidP="000C1859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68"/>
                                    <w:szCs w:val="68"/>
                                    <w:lang w:val="sq-AL"/>
                                  </w:rPr>
                                </w:pPr>
                                <w:r w:rsidRPr="004A61E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68"/>
                                    <w:szCs w:val="68"/>
                                    <w:lang w:val="sq-AL"/>
                                  </w:rPr>
                                  <w:t xml:space="preserve">  </w:t>
                                </w:r>
                              </w:p>
                              <w:p w14:paraId="34569FAD" w14:textId="77777777" w:rsidR="000C1859" w:rsidRPr="004A61EA" w:rsidRDefault="000C1859" w:rsidP="000C1859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68"/>
                                    <w:szCs w:val="68"/>
                                    <w:lang w:val="sq-AL"/>
                                  </w:rPr>
                                </w:pPr>
                              </w:p>
                              <w:p w14:paraId="7A388172" w14:textId="2FA397B2" w:rsidR="000C1859" w:rsidRPr="004A61EA" w:rsidRDefault="000C1859" w:rsidP="000C1859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44"/>
                                    <w:szCs w:val="44"/>
                                    <w:lang w:val="sq-AL"/>
                                  </w:rPr>
                                </w:pPr>
                                <w:r w:rsidRPr="004A61EA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44"/>
                                    <w:szCs w:val="44"/>
                                    <w:lang w:val="sq-AL"/>
                                  </w:rPr>
                                  <w:t>ra</w:t>
                                </w:r>
                                <w:r w:rsidR="007D6A90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44"/>
                                    <w:szCs w:val="44"/>
                                    <w:lang w:val="sq-AL"/>
                                  </w:rPr>
                                  <w:t>porti i punës janar-DHJETOR</w:t>
                                </w:r>
                                <w:r w:rsidR="00CB2EC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44"/>
                                    <w:szCs w:val="44"/>
                                    <w:lang w:val="sq-AL"/>
                                  </w:rPr>
                                  <w:t xml:space="preserve"> 202</w:t>
                                </w:r>
                                <w:r w:rsidR="00BA7B76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2E74B5" w:themeColor="accent1" w:themeShade="BF"/>
                                    <w:sz w:val="44"/>
                                    <w:szCs w:val="44"/>
                                    <w:lang w:val="sq-AL"/>
                                  </w:rPr>
                                  <w:t>4</w:t>
                                </w:r>
                              </w:p>
                              <w:p w14:paraId="64CADBD6" w14:textId="77777777" w:rsidR="000C1859" w:rsidRPr="0099401E" w:rsidRDefault="000C1859" w:rsidP="000C1859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8496B0" w:themeColor="text2" w:themeTint="99"/>
                                    <w:sz w:val="68"/>
                                    <w:szCs w:val="68"/>
                                    <w:lang w:val="sq-AL"/>
                                  </w:rPr>
                                </w:pPr>
                              </w:p>
                              <w:p w14:paraId="55609076" w14:textId="77777777" w:rsidR="000C1859" w:rsidRPr="00026753" w:rsidRDefault="000C1859" w:rsidP="000C1859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8"/>
                                    <w:szCs w:val="68"/>
                                    <w:lang w:val="sq-AL"/>
                                  </w:rPr>
                                </w:pPr>
                              </w:p>
                              <w:p w14:paraId="7492D209" w14:textId="77777777" w:rsidR="000C1859" w:rsidRDefault="0000012A" w:rsidP="000C1859">
                                <w:pPr>
                                  <w:pStyle w:val="NoSpacing"/>
                                  <w:spacing w:before="120"/>
                                  <w:rPr>
                                    <w:noProof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alias w:val="Subtitle"/>
                                    <w:tag w:val=""/>
                                    <w:id w:val="202174300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C1859">
                                      <w:rPr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3F9094F0" w14:textId="77777777" w:rsidR="000C1859" w:rsidRDefault="000C1859" w:rsidP="000C1859">
                                <w:pPr>
                                  <w:pStyle w:val="NoSpacing"/>
                                  <w:spacing w:before="120"/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8AE83CB" w14:textId="77777777" w:rsidR="000C1859" w:rsidRDefault="000C1859" w:rsidP="000C185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52C4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18.2pt;margin-top:4.95pt;width:557.25pt;height:4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" filled="f" stroked="f" strokeweight=".5pt">
                    <v:textbox>
                      <w:txbxContent>
                        <w:p w14:paraId="46A6FD33" w14:textId="77777777" w:rsidR="000C1859" w:rsidRPr="007544F1" w:rsidRDefault="0000012A" w:rsidP="000C1859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  <w:lang w:val="de-DE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8496B0" w:themeColor="text2" w:themeTint="99"/>
                                <w:sz w:val="52"/>
                                <w:szCs w:val="52"/>
                                <w:lang w:val="de-DE"/>
                              </w:rPr>
                              <w:alias w:val="Title"/>
                              <w:tag w:val=""/>
                              <w:id w:val="79719276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C1859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52"/>
                                  <w:szCs w:val="52"/>
                                  <w:lang w:val="de-DE"/>
                                </w:rPr>
                                <w:t xml:space="preserve">     </w:t>
                              </w:r>
                            </w:sdtContent>
                          </w:sdt>
                          <w:r w:rsidR="000C1859" w:rsidRPr="00026753">
                            <w:rPr>
                              <w:b/>
                              <w:sz w:val="28"/>
                              <w:szCs w:val="28"/>
                              <w:lang w:val="de-DE"/>
                            </w:rPr>
                            <w:t xml:space="preserve"> </w:t>
                          </w:r>
                          <w:r w:rsidR="000C1859">
                            <w:object w:dxaOrig="1290" w:dyaOrig="1335" w14:anchorId="4F51B1F8">
                              <v:shape id="_x0000_i1026" type="#_x0000_t75" style="width:78.7pt;height:75.35pt">
                                <v:imagedata r:id="rId8" o:title=""/>
                              </v:shape>
                              <o:OLEObject Type="Embed" ProgID="MSPhotoEd.3" ShapeID="_x0000_i1026" DrawAspect="Content" ObjectID="_1794634648" r:id="rId10"/>
                            </w:object>
                          </w:r>
                        </w:p>
                        <w:p w14:paraId="0F4C71C9" w14:textId="77777777" w:rsidR="000C1859" w:rsidRPr="004A61EA" w:rsidRDefault="000C1859" w:rsidP="000C1859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lang w:val="de-DE"/>
                            </w:rPr>
                          </w:pP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56"/>
                              <w:szCs w:val="56"/>
                              <w:lang w:val="de-DE"/>
                            </w:rPr>
                            <w:t>Republika e Kosovës</w:t>
                          </w: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lang w:val="de-DE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</w:t>
                          </w: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52"/>
                              <w:szCs w:val="52"/>
                              <w:lang w:val="de-DE"/>
                            </w:rPr>
                            <w:t>Republika Kosovo / Republic of Kosovo</w:t>
                          </w:r>
                        </w:p>
                        <w:p w14:paraId="02B5E0D9" w14:textId="77777777" w:rsidR="000C1859" w:rsidRPr="004A61EA" w:rsidRDefault="000C1859" w:rsidP="000C1859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28"/>
                              <w:szCs w:val="28"/>
                              <w:lang w:val="sq-AL"/>
                            </w:rPr>
                          </w:pPr>
                        </w:p>
                        <w:p w14:paraId="167F9A7C" w14:textId="77777777" w:rsidR="000C1859" w:rsidRPr="004A61EA" w:rsidRDefault="000C1859" w:rsidP="000C1859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28"/>
                              <w:szCs w:val="28"/>
                              <w:lang w:val="sq-AL"/>
                            </w:rPr>
                          </w:pPr>
                        </w:p>
                        <w:p w14:paraId="38563CA0" w14:textId="77777777" w:rsidR="000C1859" w:rsidRPr="004A61EA" w:rsidRDefault="000C1859" w:rsidP="000C1859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28"/>
                              <w:szCs w:val="28"/>
                              <w:lang w:val="sq-AL"/>
                            </w:rPr>
                          </w:pPr>
                        </w:p>
                        <w:p w14:paraId="5F608BBB" w14:textId="77777777" w:rsidR="000C1859" w:rsidRPr="004A61EA" w:rsidRDefault="000C1859" w:rsidP="000C1859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28"/>
                              <w:szCs w:val="28"/>
                              <w:lang w:val="sq-AL"/>
                            </w:rPr>
                          </w:pPr>
                        </w:p>
                        <w:p w14:paraId="15DD7B53" w14:textId="77777777" w:rsidR="000C1859" w:rsidRPr="004A61EA" w:rsidRDefault="000C1859" w:rsidP="000C1859">
                          <w:pPr>
                            <w:jc w:val="center"/>
                            <w:rPr>
                              <w:b/>
                              <w:color w:val="2E74B5" w:themeColor="accent1" w:themeShade="BF"/>
                              <w:sz w:val="28"/>
                              <w:szCs w:val="28"/>
                              <w:lang w:val="sq-AL"/>
                            </w:rPr>
                          </w:pPr>
                        </w:p>
                        <w:p w14:paraId="6CD0D253" w14:textId="77777777" w:rsidR="000C1859" w:rsidRPr="004A61EA" w:rsidRDefault="000C1859" w:rsidP="000C1859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48"/>
                              <w:szCs w:val="48"/>
                              <w:lang w:val="sq-AL"/>
                            </w:rPr>
                          </w:pP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48"/>
                              <w:szCs w:val="48"/>
                              <w:lang w:val="sq-AL"/>
                            </w:rPr>
                            <w:t>Drejtoria për Buxhet dhe Financa</w:t>
                          </w:r>
                        </w:p>
                        <w:p w14:paraId="2221BCAE" w14:textId="77777777" w:rsidR="000C1859" w:rsidRPr="004A61EA" w:rsidRDefault="000C1859" w:rsidP="000C1859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</w:pP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>Odelenje za Bud</w:t>
                          </w: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r-Latn-RS"/>
                            </w:rPr>
                            <w:t>žet i Finansije</w:t>
                          </w:r>
                          <w:r w:rsidRPr="004A61EA">
                            <w:rPr>
                              <w:rFonts w:asciiTheme="majorHAnsi" w:hAnsiTheme="majorHAnsi"/>
                              <w:b/>
                              <w:color w:val="2E74B5" w:themeColor="accent1" w:themeShade="BF"/>
                              <w:sz w:val="32"/>
                              <w:szCs w:val="32"/>
                              <w:lang w:val="sq-AL"/>
                            </w:rPr>
                            <w:t>-Departament of Budget and Finance</w:t>
                          </w:r>
                        </w:p>
                        <w:p w14:paraId="035022E0" w14:textId="77777777" w:rsidR="000C1859" w:rsidRPr="004A61EA" w:rsidRDefault="000C1859" w:rsidP="000C1859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68"/>
                              <w:szCs w:val="68"/>
                              <w:lang w:val="sq-AL"/>
                            </w:rPr>
                          </w:pPr>
                          <w:r w:rsidRPr="004A61EA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68"/>
                              <w:szCs w:val="68"/>
                              <w:lang w:val="sq-AL"/>
                            </w:rPr>
                            <w:t xml:space="preserve">  </w:t>
                          </w:r>
                        </w:p>
                        <w:p w14:paraId="34569FAD" w14:textId="77777777" w:rsidR="000C1859" w:rsidRPr="004A61EA" w:rsidRDefault="000C1859" w:rsidP="000C1859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68"/>
                              <w:szCs w:val="68"/>
                              <w:lang w:val="sq-AL"/>
                            </w:rPr>
                          </w:pPr>
                        </w:p>
                        <w:p w14:paraId="7A388172" w14:textId="2FA397B2" w:rsidR="000C1859" w:rsidRPr="004A61EA" w:rsidRDefault="000C1859" w:rsidP="000C1859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44"/>
                              <w:szCs w:val="44"/>
                              <w:lang w:val="sq-AL"/>
                            </w:rPr>
                          </w:pPr>
                          <w:r w:rsidRPr="004A61EA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44"/>
                              <w:szCs w:val="44"/>
                              <w:lang w:val="sq-AL"/>
                            </w:rPr>
                            <w:t>ra</w:t>
                          </w:r>
                          <w:r w:rsidR="007D6A90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44"/>
                              <w:szCs w:val="44"/>
                              <w:lang w:val="sq-AL"/>
                            </w:rPr>
                            <w:t>porti i punës janar-DHJETOR</w:t>
                          </w:r>
                          <w:r w:rsidR="00CB2EC1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44"/>
                              <w:szCs w:val="44"/>
                              <w:lang w:val="sq-AL"/>
                            </w:rPr>
                            <w:t xml:space="preserve"> 202</w:t>
                          </w:r>
                          <w:r w:rsidR="00BA7B76"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2E74B5" w:themeColor="accent1" w:themeShade="BF"/>
                              <w:sz w:val="44"/>
                              <w:szCs w:val="44"/>
                              <w:lang w:val="sq-AL"/>
                            </w:rPr>
                            <w:t>4</w:t>
                          </w:r>
                        </w:p>
                        <w:p w14:paraId="64CADBD6" w14:textId="77777777" w:rsidR="000C1859" w:rsidRPr="0099401E" w:rsidRDefault="000C1859" w:rsidP="000C1859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8496B0" w:themeColor="text2" w:themeTint="99"/>
                              <w:sz w:val="68"/>
                              <w:szCs w:val="68"/>
                              <w:lang w:val="sq-AL"/>
                            </w:rPr>
                          </w:pPr>
                        </w:p>
                        <w:p w14:paraId="55609076" w14:textId="77777777" w:rsidR="000C1859" w:rsidRPr="00026753" w:rsidRDefault="000C1859" w:rsidP="000C1859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8"/>
                              <w:szCs w:val="68"/>
                              <w:lang w:val="sq-AL"/>
                            </w:rPr>
                          </w:pPr>
                        </w:p>
                        <w:p w14:paraId="7492D209" w14:textId="77777777" w:rsidR="000C1859" w:rsidRDefault="0000012A" w:rsidP="000C1859">
                          <w:pPr>
                            <w:pStyle w:val="NoSpacing"/>
                            <w:spacing w:before="120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44"/>
                                <w:szCs w:val="44"/>
                              </w:rPr>
                              <w:alias w:val="Subtitle"/>
                              <w:tag w:val=""/>
                              <w:id w:val="202174300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0C1859">
                                <w:rPr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3F9094F0" w14:textId="77777777" w:rsidR="000C1859" w:rsidRDefault="000C1859" w:rsidP="000C1859">
                          <w:pPr>
                            <w:pStyle w:val="NoSpacing"/>
                            <w:spacing w:before="120"/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</w:pPr>
                        </w:p>
                        <w:p w14:paraId="28AE83CB" w14:textId="77777777" w:rsidR="000C1859" w:rsidRDefault="000C1859" w:rsidP="000C1859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0C1859">
            <w:rPr>
              <w:noProof/>
            </w:rPr>
            <w:drawing>
              <wp:inline distT="0" distB="0" distL="0" distR="0" wp14:anchorId="6AA769E3" wp14:editId="33960E8B">
                <wp:extent cx="895350" cy="9906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4F211B" w14:textId="77777777" w:rsidR="000C1859" w:rsidRDefault="000C1859" w:rsidP="000C1859"/>
        <w:p w14:paraId="29B5FA7A" w14:textId="77777777" w:rsidR="000C1859" w:rsidRDefault="000C1859" w:rsidP="000C1859"/>
        <w:p w14:paraId="4556E2DA" w14:textId="77777777" w:rsidR="000C1859" w:rsidRDefault="000C1859" w:rsidP="000C1859"/>
        <w:p w14:paraId="31499871" w14:textId="77777777" w:rsidR="000C1859" w:rsidRDefault="000C1859" w:rsidP="000C1859"/>
        <w:p w14:paraId="6F69F952" w14:textId="77777777" w:rsidR="000C1859" w:rsidRDefault="000C1859" w:rsidP="000C1859"/>
        <w:p w14:paraId="4F8EA990" w14:textId="77777777" w:rsidR="000C1859" w:rsidRDefault="000C1859" w:rsidP="000C1859"/>
        <w:p w14:paraId="2F0BCD02" w14:textId="77777777" w:rsidR="000C1859" w:rsidRDefault="000C1859" w:rsidP="000C1859"/>
        <w:p w14:paraId="72C49B71" w14:textId="77777777" w:rsidR="000C1859" w:rsidRDefault="000C1859" w:rsidP="000C1859"/>
        <w:p w14:paraId="7B8C3675" w14:textId="77777777" w:rsidR="000C1859" w:rsidRDefault="000C1859" w:rsidP="000C1859">
          <w:r>
            <w:rPr>
              <w:noProof/>
              <w:color w:val="5B9BD5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 wp14:anchorId="1EB8C59C" wp14:editId="3181C6B7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group w14:anchorId="2E51CFF5" id="Group 2" o:spid="_x0000_s1026" style="position:absolute;margin-left:0;margin-top:0;width:432.65pt;height:448.55pt;z-index:-251654144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V0MMA&#10;AADbAAAADwAAAGRycy9kb3ducmV2LnhtbESPQWsCMRSE70L/Q3iF3jRbKWJXo9jCtt5qt8XzY/Pc&#10;DW5etklc139vCoLHYWa+YZbrwbaiJx+MYwXPkwwEceW04VrB708xnoMIEVlj65gUXCjAevUwWmKu&#10;3Zm/qS9jLRKEQ44Kmhi7XMpQNWQxTFxHnLyD8xZjkr6W2uM5wW0rp1k2kxYNp4UGO3pvqDqWJ6ug&#10;f/PDV3T7bVGY3avs9Yf5+9wr9fQ4bBYgIg3xHr61t1rB7AX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/V0MMAAADbAAAADwAAAAAAAAAAAAAAAACYAgAAZHJzL2Rv&#10;d25yZXYueG1sUEsFBgAAAAAEAAQA9QAAAIgD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RWMUA&#10;AADbAAAADwAAAGRycy9kb3ducmV2LnhtbESP0WrCQBRE34X+w3ILfdNNWgxNdJUSWvRBLE37AbfZ&#10;axKavZtmV41+vSsIPg4zc4aZLwfTigP1rrGsIJ5EIIhLqxuuFPx8f4xfQTiPrLG1TApO5GC5eBjN&#10;MdP2yF90KHwlAoRdhgpq77tMSlfWZNBNbEccvJ3tDfog+0rqHo8Bblr5HEWJNNhwWKixo7ym8q/Y&#10;GwXDeb/afL7H3SZp0xf/K//zdItKPT0ObzMQngZ/D9/aa60gmc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FYxQAAANsAAAAPAAAAAAAAAAAAAAAAAJgCAABkcnMv&#10;ZG93bnJldi54bWxQSwUGAAAAAAQABAD1AAAAigM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yt8QA&#10;AADbAAAADwAAAGRycy9kb3ducmV2LnhtbESPS2vDMBCE74X+B7GFXkoipwfXOJFDKbjtNS9Cbhtr&#10;/SDWyrVU2/33USDQ4zAz3zCr9WRaMVDvGssKFvMIBHFhdcOVgv0unyUgnEfW2FomBX/kYJ09Pqww&#10;1XbkDQ1bX4kAYZeigtr7LpXSFTUZdHPbEQevtL1BH2RfSd3jGOCmla9RFEuDDYeFGjv6qKm4bH+N&#10;gsSdxrcd/nwOXpaL5uV8yI9fuVLPT9P7EoSnyf+H7+1vrSCO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4crfEAAAA2wAAAA8AAAAAAAAAAAAAAAAAmAIAAGRycy9k&#10;b3ducmV2LnhtbFBLBQYAAAAABAAEAPUAAACJAw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N4cMA&#10;AADbAAAADwAAAGRycy9kb3ducmV2LnhtbESPwWoCMRCG7wXfIYzgrWYV2dbVKKJUpNCDttDruJlu&#10;lm4mS5K669s3guBx+Of/5pvlureNuJAPtWMFk3EGgrh0uuZKwdfn2/MriBCRNTaOScGVAqxXg6cl&#10;Ftp1fKTLKVYiQTgUqMDE2BZShtKQxTB2LXHKfpy3GNPoK6k9dgluGznNslxarDldMNjS1lD5e/qz&#10;SeN7utvPjDwnqzz7OO7n/r2bKzUa9psFiEh9fCzf2wetIH+B2y8JAH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N4cMAAADbAAAADwAAAAAAAAAAAAAAAACYAgAAZHJzL2Rv&#10;d25yZXYueG1sUEsFBgAAAAAEAAQA9QAAAIgD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D57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bP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9Q+e7AAAA2wAAAA8AAAAAAAAAAAAAAAAAmAIAAGRycy9kb3ducmV2Lnht&#10;bFBLBQYAAAAABAAEAPUAAACAAw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AB13A8A" wp14:editId="5C1F94BA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Course"/>
                                  <w:tag w:val="Course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AE39784" w14:textId="77777777" w:rsidR="000C1859" w:rsidRPr="0099401E" w:rsidRDefault="000C1859" w:rsidP="000C1859">
                                    <w:pPr>
                                      <w:pStyle w:val="NoSpacing"/>
                                      <w:jc w:val="center"/>
                                      <w:rPr>
                                        <w:b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B13A8A" id="Text Box 69" o:spid="_x0000_s1027" type="#_x0000_t202" style="position:absolute;margin-left:0;margin-top:0;width:468pt;height:29.5pt;z-index:251661312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BedgIAAFs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color w:val="5B9BD5" w:themeColor="accent1"/>
                              <w:sz w:val="28"/>
                              <w:szCs w:val="28"/>
                            </w:rPr>
                            <w:alias w:val="Course"/>
                            <w:tag w:val="Course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6AE39784" w14:textId="77777777" w:rsidR="000C1859" w:rsidRPr="0099401E" w:rsidRDefault="000C1859" w:rsidP="000C1859">
                              <w:pPr>
                                <w:pStyle w:val="NoSpacing"/>
                                <w:jc w:val="center"/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4D1222CF" w14:textId="77777777" w:rsidR="000C1859" w:rsidRDefault="000C1859" w:rsidP="000C1859">
          <w:pPr>
            <w:spacing w:after="200" w:line="276" w:lineRule="auto"/>
          </w:pPr>
          <w:r>
            <w:br w:type="page"/>
          </w:r>
        </w:p>
      </w:sdtContent>
    </w:sdt>
    <w:p w14:paraId="4BCE463A" w14:textId="77777777" w:rsidR="000C1859" w:rsidRPr="00B66495" w:rsidRDefault="000C1859" w:rsidP="000C1859">
      <w:pPr>
        <w:spacing w:after="200" w:line="276" w:lineRule="auto"/>
        <w:rPr>
          <w:b/>
          <w:bCs/>
          <w:i/>
          <w:iCs/>
        </w:rPr>
      </w:pPr>
      <w:r w:rsidRPr="00834A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9802F" wp14:editId="15D75209">
                <wp:simplePos x="0" y="0"/>
                <wp:positionH relativeFrom="column">
                  <wp:posOffset>-571500</wp:posOffset>
                </wp:positionH>
                <wp:positionV relativeFrom="paragraph">
                  <wp:posOffset>-342900</wp:posOffset>
                </wp:positionV>
                <wp:extent cx="774065" cy="7772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04BB1" w14:textId="77777777" w:rsidR="000C1859" w:rsidRDefault="000C1859" w:rsidP="000C1859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9802F" id="Text Box 2" o:spid="_x0000_s1028" type="#_x0000_t202" style="position:absolute;margin-left:-45pt;margin-top:-27pt;width:60.9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27CuAIAAL8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" filled="f" stroked="f">
                <v:textbox>
                  <w:txbxContent>
                    <w:p w14:paraId="6CB04BB1" w14:textId="77777777" w:rsidR="000C1859" w:rsidRDefault="000C1859" w:rsidP="000C1859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A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2D746" wp14:editId="50B94E27">
                <wp:simplePos x="0" y="0"/>
                <wp:positionH relativeFrom="column">
                  <wp:posOffset>5133975</wp:posOffset>
                </wp:positionH>
                <wp:positionV relativeFrom="paragraph">
                  <wp:posOffset>-457200</wp:posOffset>
                </wp:positionV>
                <wp:extent cx="913130" cy="855980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07656" w14:textId="77777777" w:rsidR="000C1859" w:rsidRDefault="000C1859" w:rsidP="000C18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2D746" id="Text Box 7" o:spid="_x0000_s1029" type="#_x0000_t202" style="position:absolute;margin-left:404.25pt;margin-top:-36pt;width:71.9pt;height:67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" filled="f" stroked="f">
                <v:textbox style="mso-fit-shape-to-text:t">
                  <w:txbxContent>
                    <w:p w14:paraId="46807656" w14:textId="77777777" w:rsidR="000C1859" w:rsidRDefault="000C1859" w:rsidP="000C18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4"/>
          <w:lang w:val="sq-AL" w:eastAsia="en-US"/>
          <w14:textOutline w14:w="0" w14:cap="rnd" w14:cmpd="sng" w14:algn="ctr">
            <w14:noFill/>
            <w14:prstDash w14:val="solid"/>
            <w14:bevel/>
          </w14:textOutline>
        </w:rPr>
        <w:id w:val="14194503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368EF8B" w14:textId="77777777" w:rsidR="000C1859" w:rsidRPr="00834ABE" w:rsidRDefault="000C1859" w:rsidP="00332306">
          <w:pPr>
            <w:pStyle w:val="TOCHeading"/>
            <w:ind w:left="90" w:right="142"/>
            <w:rPr>
              <w:rFonts w:ascii="Times New Roman" w:hAnsi="Times New Roman" w:cs="Times New Roman"/>
              <w:u w:val="single"/>
              <w:lang w:val="sq-AL"/>
            </w:rPr>
          </w:pPr>
          <w:r w:rsidRPr="00834ABE">
            <w:rPr>
              <w:u w:val="single"/>
              <w:lang w:val="sq-AL"/>
            </w:rPr>
            <w:t>P</w:t>
          </w:r>
          <w:r w:rsidRPr="00834ABE">
            <w:rPr>
              <w:rFonts w:ascii="Times New Roman" w:hAnsi="Times New Roman" w:cs="Times New Roman"/>
              <w:u w:val="single"/>
              <w:lang w:val="sq-AL"/>
            </w:rPr>
            <w:t>ërmbajtja</w:t>
          </w:r>
        </w:p>
        <w:p w14:paraId="2BBA847C" w14:textId="77777777" w:rsidR="000C1859" w:rsidRPr="00834ABE" w:rsidRDefault="000C1859" w:rsidP="000C1859">
          <w:pPr>
            <w:ind w:left="284" w:right="142"/>
            <w:rPr>
              <w:lang w:val="sq-AL" w:eastAsia="ja-JP"/>
            </w:rPr>
          </w:pPr>
        </w:p>
        <w:p w14:paraId="2D794C7C" w14:textId="2680937C" w:rsidR="004A61EA" w:rsidRDefault="000C1859">
          <w:pPr>
            <w:pStyle w:val="TOC1"/>
            <w:rPr>
              <w:b w:val="0"/>
              <w:lang w:val="sr-Latn-RS" w:eastAsia="sr-Latn-RS"/>
            </w:rPr>
          </w:pPr>
          <w:r w:rsidRPr="00834ABE">
            <w:rPr>
              <w:rFonts w:cstheme="minorHAnsi"/>
            </w:rPr>
            <w:fldChar w:fldCharType="begin"/>
          </w:r>
          <w:r w:rsidRPr="00834ABE">
            <w:rPr>
              <w:rFonts w:cstheme="minorHAnsi"/>
            </w:rPr>
            <w:instrText xml:space="preserve"> TOC \o "1-3" \h \z \u </w:instrText>
          </w:r>
          <w:r w:rsidRPr="00834ABE">
            <w:rPr>
              <w:rFonts w:cstheme="minorHAnsi"/>
            </w:rPr>
            <w:fldChar w:fldCharType="separate"/>
          </w:r>
          <w:hyperlink w:anchor="_Toc43215588" w:history="1">
            <w:r w:rsidR="004A61EA" w:rsidRPr="001B2E8F">
              <w:rPr>
                <w:rStyle w:val="Hyperlink"/>
              </w:rPr>
              <w:t>HYRJE</w:t>
            </w:r>
            <w:r w:rsidR="004A61EA">
              <w:rPr>
                <w:webHidden/>
              </w:rPr>
              <w:tab/>
            </w:r>
            <w:r w:rsidR="004A61EA">
              <w:rPr>
                <w:webHidden/>
              </w:rPr>
              <w:fldChar w:fldCharType="begin"/>
            </w:r>
            <w:r w:rsidR="004A61EA">
              <w:rPr>
                <w:webHidden/>
              </w:rPr>
              <w:instrText xml:space="preserve"> PAGEREF _Toc43215588 \h </w:instrText>
            </w:r>
            <w:r w:rsidR="004A61EA">
              <w:rPr>
                <w:webHidden/>
              </w:rPr>
            </w:r>
            <w:r w:rsidR="004A61EA">
              <w:rPr>
                <w:webHidden/>
              </w:rPr>
              <w:fldChar w:fldCharType="separate"/>
            </w:r>
            <w:r w:rsidR="00956573">
              <w:rPr>
                <w:webHidden/>
              </w:rPr>
              <w:t>3</w:t>
            </w:r>
            <w:r w:rsidR="004A61EA">
              <w:rPr>
                <w:webHidden/>
              </w:rPr>
              <w:fldChar w:fldCharType="end"/>
            </w:r>
          </w:hyperlink>
        </w:p>
        <w:p w14:paraId="2177F6CF" w14:textId="32186E86" w:rsidR="004A61EA" w:rsidRDefault="0000012A">
          <w:pPr>
            <w:pStyle w:val="TOC1"/>
            <w:rPr>
              <w:b w:val="0"/>
              <w:lang w:val="sr-Latn-RS" w:eastAsia="sr-Latn-RS"/>
            </w:rPr>
          </w:pPr>
          <w:hyperlink w:anchor="_Toc43215589" w:history="1">
            <w:r w:rsidR="004A61EA" w:rsidRPr="001B2E8F">
              <w:rPr>
                <w:rStyle w:val="Hyperlink"/>
              </w:rPr>
              <w:t>1. SEKTORI PËR BUXHET DHE FINANCA</w:t>
            </w:r>
            <w:r w:rsidR="004A61EA">
              <w:rPr>
                <w:webHidden/>
              </w:rPr>
              <w:tab/>
            </w:r>
            <w:r w:rsidR="004A61EA">
              <w:rPr>
                <w:webHidden/>
              </w:rPr>
              <w:fldChar w:fldCharType="begin"/>
            </w:r>
            <w:r w:rsidR="004A61EA">
              <w:rPr>
                <w:webHidden/>
              </w:rPr>
              <w:instrText xml:space="preserve"> PAGEREF _Toc43215589 \h </w:instrText>
            </w:r>
            <w:r w:rsidR="004A61EA">
              <w:rPr>
                <w:webHidden/>
              </w:rPr>
            </w:r>
            <w:r w:rsidR="004A61EA">
              <w:rPr>
                <w:webHidden/>
              </w:rPr>
              <w:fldChar w:fldCharType="separate"/>
            </w:r>
            <w:r w:rsidR="00956573">
              <w:rPr>
                <w:webHidden/>
              </w:rPr>
              <w:t>3</w:t>
            </w:r>
            <w:r w:rsidR="004A61EA">
              <w:rPr>
                <w:webHidden/>
              </w:rPr>
              <w:fldChar w:fldCharType="end"/>
            </w:r>
          </w:hyperlink>
        </w:p>
        <w:p w14:paraId="12441ACD" w14:textId="49F4F24F" w:rsidR="004A61EA" w:rsidRDefault="0000012A">
          <w:pPr>
            <w:pStyle w:val="TOC1"/>
            <w:rPr>
              <w:b w:val="0"/>
              <w:lang w:val="sr-Latn-RS" w:eastAsia="sr-Latn-RS"/>
            </w:rPr>
          </w:pPr>
          <w:hyperlink w:anchor="_Toc43215590" w:history="1">
            <w:r w:rsidR="00CB2EC1">
              <w:rPr>
                <w:rStyle w:val="Hyperlink"/>
              </w:rPr>
              <w:t>2. BUXHETI 2023</w:t>
            </w:r>
            <w:r w:rsidR="004A61EA">
              <w:rPr>
                <w:webHidden/>
              </w:rPr>
              <w:tab/>
            </w:r>
            <w:r w:rsidR="004A61EA">
              <w:rPr>
                <w:webHidden/>
              </w:rPr>
              <w:fldChar w:fldCharType="begin"/>
            </w:r>
            <w:r w:rsidR="004A61EA">
              <w:rPr>
                <w:webHidden/>
              </w:rPr>
              <w:instrText xml:space="preserve"> PAGEREF _Toc43215590 \h </w:instrText>
            </w:r>
            <w:r w:rsidR="004A61EA">
              <w:rPr>
                <w:webHidden/>
              </w:rPr>
            </w:r>
            <w:r w:rsidR="004A61EA">
              <w:rPr>
                <w:webHidden/>
              </w:rPr>
              <w:fldChar w:fldCharType="separate"/>
            </w:r>
            <w:r w:rsidR="00956573">
              <w:rPr>
                <w:webHidden/>
              </w:rPr>
              <w:t>4</w:t>
            </w:r>
            <w:r w:rsidR="004A61EA">
              <w:rPr>
                <w:webHidden/>
              </w:rPr>
              <w:fldChar w:fldCharType="end"/>
            </w:r>
          </w:hyperlink>
        </w:p>
        <w:p w14:paraId="59C4D568" w14:textId="10DF8CB5" w:rsidR="004A61EA" w:rsidRDefault="0000012A">
          <w:pPr>
            <w:pStyle w:val="TOC1"/>
            <w:rPr>
              <w:b w:val="0"/>
              <w:lang w:val="sr-Latn-RS" w:eastAsia="sr-Latn-RS"/>
            </w:rPr>
          </w:pPr>
          <w:hyperlink w:anchor="_Toc43215591" w:history="1">
            <w:r w:rsidR="004A61EA" w:rsidRPr="001B2E8F">
              <w:rPr>
                <w:rStyle w:val="Hyperlink"/>
              </w:rPr>
              <w:t xml:space="preserve">3. </w:t>
            </w:r>
            <w:r w:rsidR="007E528D">
              <w:rPr>
                <w:rStyle w:val="Hyperlink"/>
              </w:rPr>
              <w:t>PUNËT E REALIZUARA JANAR-SHTATOR</w:t>
            </w:r>
            <w:r w:rsidR="004A61EA">
              <w:rPr>
                <w:webHidden/>
              </w:rPr>
              <w:tab/>
            </w:r>
            <w:r w:rsidR="004A61EA">
              <w:rPr>
                <w:webHidden/>
              </w:rPr>
              <w:fldChar w:fldCharType="begin"/>
            </w:r>
            <w:r w:rsidR="004A61EA">
              <w:rPr>
                <w:webHidden/>
              </w:rPr>
              <w:instrText xml:space="preserve"> PAGEREF _Toc43215591 \h </w:instrText>
            </w:r>
            <w:r w:rsidR="004A61EA">
              <w:rPr>
                <w:webHidden/>
              </w:rPr>
            </w:r>
            <w:r w:rsidR="004A61EA">
              <w:rPr>
                <w:webHidden/>
              </w:rPr>
              <w:fldChar w:fldCharType="separate"/>
            </w:r>
            <w:r w:rsidR="00956573">
              <w:rPr>
                <w:webHidden/>
              </w:rPr>
              <w:t>4</w:t>
            </w:r>
            <w:r w:rsidR="004A61EA">
              <w:rPr>
                <w:webHidden/>
              </w:rPr>
              <w:fldChar w:fldCharType="end"/>
            </w:r>
          </w:hyperlink>
        </w:p>
        <w:p w14:paraId="6F3BD3B1" w14:textId="21A8E61F" w:rsidR="004A61EA" w:rsidRDefault="0000012A">
          <w:pPr>
            <w:pStyle w:val="TOC1"/>
            <w:rPr>
              <w:b w:val="0"/>
              <w:lang w:val="sr-Latn-RS" w:eastAsia="sr-Latn-RS"/>
            </w:rPr>
          </w:pPr>
          <w:hyperlink w:anchor="_Toc43215592" w:history="1">
            <w:r w:rsidR="005D5B01">
              <w:rPr>
                <w:rStyle w:val="Hyperlink"/>
              </w:rPr>
              <w:t>4. JANAR-SHTATOR</w:t>
            </w:r>
            <w:r w:rsidR="004A61EA" w:rsidRPr="001B2E8F">
              <w:rPr>
                <w:rStyle w:val="Hyperlink"/>
              </w:rPr>
              <w:t xml:space="preserve"> BUXHET,</w:t>
            </w:r>
            <w:r w:rsidR="00A60CC8">
              <w:rPr>
                <w:rStyle w:val="Hyperlink"/>
              </w:rPr>
              <w:t xml:space="preserve"> </w:t>
            </w:r>
            <w:r w:rsidR="004A61EA" w:rsidRPr="001B2E8F">
              <w:rPr>
                <w:rStyle w:val="Hyperlink"/>
              </w:rPr>
              <w:t>ALOKIM,</w:t>
            </w:r>
            <w:r w:rsidR="00A60CC8">
              <w:rPr>
                <w:rStyle w:val="Hyperlink"/>
              </w:rPr>
              <w:t xml:space="preserve"> </w:t>
            </w:r>
            <w:r w:rsidR="004A61EA" w:rsidRPr="001B2E8F">
              <w:rPr>
                <w:rStyle w:val="Hyperlink"/>
              </w:rPr>
              <w:t>SHPENZIM</w:t>
            </w:r>
            <w:r w:rsidR="004A61EA">
              <w:rPr>
                <w:webHidden/>
              </w:rPr>
              <w:tab/>
            </w:r>
            <w:r w:rsidR="004A61EA">
              <w:rPr>
                <w:webHidden/>
              </w:rPr>
              <w:fldChar w:fldCharType="begin"/>
            </w:r>
            <w:r w:rsidR="004A61EA">
              <w:rPr>
                <w:webHidden/>
              </w:rPr>
              <w:instrText xml:space="preserve"> PAGEREF _Toc43215592 \h </w:instrText>
            </w:r>
            <w:r w:rsidR="004A61EA">
              <w:rPr>
                <w:webHidden/>
              </w:rPr>
            </w:r>
            <w:r w:rsidR="004A61EA">
              <w:rPr>
                <w:webHidden/>
              </w:rPr>
              <w:fldChar w:fldCharType="separate"/>
            </w:r>
            <w:r w:rsidR="00956573">
              <w:rPr>
                <w:webHidden/>
              </w:rPr>
              <w:t>5</w:t>
            </w:r>
            <w:r w:rsidR="004A61EA">
              <w:rPr>
                <w:webHidden/>
              </w:rPr>
              <w:fldChar w:fldCharType="end"/>
            </w:r>
          </w:hyperlink>
        </w:p>
        <w:p w14:paraId="65351021" w14:textId="411E0239" w:rsidR="004A61EA" w:rsidRDefault="0000012A">
          <w:pPr>
            <w:pStyle w:val="TOC2"/>
            <w:rPr>
              <w:rFonts w:eastAsiaTheme="minorEastAsia" w:cstheme="minorBidi"/>
              <w:noProof/>
              <w:szCs w:val="22"/>
              <w:lang w:val="sr-Latn-RS" w:eastAsia="sr-Latn-RS"/>
            </w:rPr>
          </w:pPr>
          <w:hyperlink w:anchor="_Toc43215593" w:history="1">
            <w:r w:rsidR="004A61EA" w:rsidRPr="001B2E8F">
              <w:rPr>
                <w:rStyle w:val="Hyperlink"/>
                <w:noProof/>
              </w:rPr>
              <w:t>4.1 Paraqitja grafike</w:t>
            </w:r>
            <w:r w:rsidR="004A61EA">
              <w:rPr>
                <w:noProof/>
                <w:webHidden/>
              </w:rPr>
              <w:tab/>
            </w:r>
            <w:r w:rsidR="004A61EA">
              <w:rPr>
                <w:noProof/>
                <w:webHidden/>
              </w:rPr>
              <w:fldChar w:fldCharType="begin"/>
            </w:r>
            <w:r w:rsidR="004A61EA">
              <w:rPr>
                <w:noProof/>
                <w:webHidden/>
              </w:rPr>
              <w:instrText xml:space="preserve"> PAGEREF _Toc43215593 \h </w:instrText>
            </w:r>
            <w:r w:rsidR="004A61EA">
              <w:rPr>
                <w:noProof/>
                <w:webHidden/>
              </w:rPr>
            </w:r>
            <w:r w:rsidR="004A61EA">
              <w:rPr>
                <w:noProof/>
                <w:webHidden/>
              </w:rPr>
              <w:fldChar w:fldCharType="separate"/>
            </w:r>
            <w:r w:rsidR="00956573">
              <w:rPr>
                <w:noProof/>
                <w:webHidden/>
              </w:rPr>
              <w:t>5</w:t>
            </w:r>
            <w:r w:rsidR="004A61EA">
              <w:rPr>
                <w:noProof/>
                <w:webHidden/>
              </w:rPr>
              <w:fldChar w:fldCharType="end"/>
            </w:r>
          </w:hyperlink>
        </w:p>
        <w:p w14:paraId="3FB8B24E" w14:textId="64F0F0B8" w:rsidR="004A61EA" w:rsidRDefault="0000012A">
          <w:pPr>
            <w:pStyle w:val="TOC1"/>
            <w:rPr>
              <w:b w:val="0"/>
              <w:lang w:val="sr-Latn-RS" w:eastAsia="sr-Latn-RS"/>
            </w:rPr>
          </w:pPr>
          <w:hyperlink w:anchor="_Toc43215594" w:history="1">
            <w:r w:rsidR="004A61EA" w:rsidRPr="001B2E8F">
              <w:rPr>
                <w:rStyle w:val="Hyperlink"/>
              </w:rPr>
              <w:t>5. TË HYRAT VETANAKE</w:t>
            </w:r>
            <w:r w:rsidR="004A61EA">
              <w:rPr>
                <w:webHidden/>
              </w:rPr>
              <w:tab/>
            </w:r>
            <w:r w:rsidR="004A61EA">
              <w:rPr>
                <w:webHidden/>
              </w:rPr>
              <w:fldChar w:fldCharType="begin"/>
            </w:r>
            <w:r w:rsidR="004A61EA">
              <w:rPr>
                <w:webHidden/>
              </w:rPr>
              <w:instrText xml:space="preserve"> PAGEREF _Toc43215594 \h </w:instrText>
            </w:r>
            <w:r w:rsidR="004A61EA">
              <w:rPr>
                <w:webHidden/>
              </w:rPr>
            </w:r>
            <w:r w:rsidR="004A61EA">
              <w:rPr>
                <w:webHidden/>
              </w:rPr>
              <w:fldChar w:fldCharType="separate"/>
            </w:r>
            <w:r w:rsidR="00956573">
              <w:rPr>
                <w:webHidden/>
              </w:rPr>
              <w:t>6</w:t>
            </w:r>
            <w:r w:rsidR="004A61EA">
              <w:rPr>
                <w:webHidden/>
              </w:rPr>
              <w:fldChar w:fldCharType="end"/>
            </w:r>
          </w:hyperlink>
        </w:p>
        <w:p w14:paraId="2B9D3EE4" w14:textId="2E03972D" w:rsidR="004A61EA" w:rsidRDefault="0000012A">
          <w:pPr>
            <w:pStyle w:val="TOC1"/>
            <w:rPr>
              <w:b w:val="0"/>
              <w:lang w:val="sr-Latn-RS" w:eastAsia="sr-Latn-RS"/>
            </w:rPr>
          </w:pPr>
          <w:hyperlink w:anchor="_Toc43215595" w:history="1">
            <w:r w:rsidR="004A61EA" w:rsidRPr="001B2E8F">
              <w:rPr>
                <w:rStyle w:val="Hyperlink"/>
              </w:rPr>
              <w:t>6. SEKTORI I TATIMIT NË PRONË</w:t>
            </w:r>
            <w:r w:rsidR="004A61EA">
              <w:rPr>
                <w:webHidden/>
              </w:rPr>
              <w:tab/>
            </w:r>
            <w:r w:rsidR="004A61EA">
              <w:rPr>
                <w:webHidden/>
              </w:rPr>
              <w:fldChar w:fldCharType="begin"/>
            </w:r>
            <w:r w:rsidR="004A61EA">
              <w:rPr>
                <w:webHidden/>
              </w:rPr>
              <w:instrText xml:space="preserve"> PAGEREF _Toc43215595 \h </w:instrText>
            </w:r>
            <w:r w:rsidR="004A61EA">
              <w:rPr>
                <w:webHidden/>
              </w:rPr>
            </w:r>
            <w:r w:rsidR="004A61EA">
              <w:rPr>
                <w:webHidden/>
              </w:rPr>
              <w:fldChar w:fldCharType="separate"/>
            </w:r>
            <w:r w:rsidR="00956573">
              <w:rPr>
                <w:webHidden/>
              </w:rPr>
              <w:t>6</w:t>
            </w:r>
            <w:r w:rsidR="004A61EA">
              <w:rPr>
                <w:webHidden/>
              </w:rPr>
              <w:fldChar w:fldCharType="end"/>
            </w:r>
          </w:hyperlink>
        </w:p>
        <w:p w14:paraId="4A828187" w14:textId="77777777" w:rsidR="000C1859" w:rsidRPr="00834ABE" w:rsidRDefault="000C1859" w:rsidP="000C1859">
          <w:pPr>
            <w:ind w:right="142"/>
            <w:rPr>
              <w:lang w:val="sq-AL"/>
            </w:rPr>
          </w:pPr>
          <w:r w:rsidRPr="00834ABE">
            <w:rPr>
              <w:rFonts w:cstheme="minorHAnsi"/>
              <w:b/>
              <w:bCs/>
              <w:noProof/>
              <w:szCs w:val="22"/>
              <w:lang w:val="sq-AL"/>
            </w:rPr>
            <w:fldChar w:fldCharType="end"/>
          </w:r>
        </w:p>
      </w:sdtContent>
    </w:sdt>
    <w:p w14:paraId="0BAFE393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75BA3579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03A25035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04EBAE71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608FC678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06BDC3E3" w14:textId="77777777" w:rsidR="000C1859" w:rsidRPr="00834ABE" w:rsidRDefault="000C1859" w:rsidP="000C1859">
      <w:pPr>
        <w:ind w:left="270"/>
        <w:rPr>
          <w:rFonts w:cstheme="minorHAnsi"/>
          <w:lang w:val="sq-AL"/>
        </w:rPr>
      </w:pPr>
    </w:p>
    <w:p w14:paraId="39108A39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4A936D5F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14D7A5FD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30079189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2D66F835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624CCF03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37AE840D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3D0CB805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2BFC74BB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0F16E667" w14:textId="77777777" w:rsidR="000C1859" w:rsidRDefault="000C1859" w:rsidP="000C1859">
      <w:pPr>
        <w:rPr>
          <w:rFonts w:cstheme="minorHAnsi"/>
          <w:lang w:val="sq-AL"/>
        </w:rPr>
      </w:pPr>
    </w:p>
    <w:p w14:paraId="7C91C74B" w14:textId="77777777" w:rsidR="000C1859" w:rsidRDefault="000C1859" w:rsidP="000C1859">
      <w:pPr>
        <w:rPr>
          <w:rFonts w:cstheme="minorHAnsi"/>
          <w:lang w:val="sq-AL"/>
        </w:rPr>
      </w:pPr>
    </w:p>
    <w:p w14:paraId="7F978C31" w14:textId="77777777" w:rsidR="000C1859" w:rsidRDefault="000C1859" w:rsidP="000C1859">
      <w:pPr>
        <w:rPr>
          <w:rFonts w:cstheme="minorHAnsi"/>
          <w:lang w:val="sq-AL"/>
        </w:rPr>
      </w:pPr>
    </w:p>
    <w:p w14:paraId="73EA2F0E" w14:textId="77777777" w:rsidR="000C1859" w:rsidRDefault="000C1859" w:rsidP="000C1859">
      <w:pPr>
        <w:rPr>
          <w:rFonts w:cstheme="minorHAnsi"/>
          <w:lang w:val="sq-AL"/>
        </w:rPr>
      </w:pPr>
    </w:p>
    <w:p w14:paraId="7A1C24A4" w14:textId="77777777" w:rsidR="000C1859" w:rsidRDefault="000C1859" w:rsidP="000C1859">
      <w:pPr>
        <w:rPr>
          <w:rFonts w:cstheme="minorHAnsi"/>
          <w:lang w:val="sq-AL"/>
        </w:rPr>
      </w:pPr>
    </w:p>
    <w:p w14:paraId="24B6B1D3" w14:textId="77777777" w:rsidR="000C1859" w:rsidRDefault="000C1859" w:rsidP="000C1859">
      <w:pPr>
        <w:rPr>
          <w:rFonts w:cstheme="minorHAnsi"/>
          <w:lang w:val="sq-AL"/>
        </w:rPr>
      </w:pPr>
    </w:p>
    <w:p w14:paraId="0FD0A414" w14:textId="77777777" w:rsidR="000C1859" w:rsidRDefault="000C1859" w:rsidP="000C1859">
      <w:pPr>
        <w:rPr>
          <w:rFonts w:cstheme="minorHAnsi"/>
          <w:lang w:val="sq-AL"/>
        </w:rPr>
      </w:pPr>
    </w:p>
    <w:p w14:paraId="52333E20" w14:textId="77777777" w:rsidR="000C1859" w:rsidRDefault="000C1859" w:rsidP="000C1859">
      <w:pPr>
        <w:rPr>
          <w:rFonts w:cstheme="minorHAnsi"/>
          <w:lang w:val="sq-AL"/>
        </w:rPr>
      </w:pPr>
    </w:p>
    <w:p w14:paraId="12E32792" w14:textId="77777777" w:rsidR="000C1859" w:rsidRDefault="000C1859" w:rsidP="000C1859">
      <w:pPr>
        <w:rPr>
          <w:rFonts w:cstheme="minorHAnsi"/>
          <w:lang w:val="sq-AL"/>
        </w:rPr>
      </w:pPr>
    </w:p>
    <w:p w14:paraId="2F71CCA1" w14:textId="77777777" w:rsidR="000C1859" w:rsidRDefault="000C1859" w:rsidP="000C1859">
      <w:pPr>
        <w:rPr>
          <w:rFonts w:cstheme="minorHAnsi"/>
          <w:lang w:val="sq-AL"/>
        </w:rPr>
      </w:pPr>
    </w:p>
    <w:p w14:paraId="3BC405FE" w14:textId="77777777" w:rsidR="000C1859" w:rsidRDefault="000C1859" w:rsidP="000C1859">
      <w:pPr>
        <w:rPr>
          <w:rFonts w:cstheme="minorHAnsi"/>
          <w:lang w:val="sq-AL"/>
        </w:rPr>
      </w:pPr>
    </w:p>
    <w:p w14:paraId="6A26C261" w14:textId="77777777" w:rsidR="000C1859" w:rsidRPr="001A7CB6" w:rsidRDefault="000C1859" w:rsidP="001A7CB6">
      <w:pPr>
        <w:pStyle w:val="Heading1"/>
      </w:pPr>
      <w:bookmarkStart w:id="0" w:name="_Toc526953435"/>
      <w:bookmarkStart w:id="1" w:name="_Toc43215588"/>
      <w:r w:rsidRPr="00834ABE">
        <w:rPr>
          <w:lang w:val="sq-AL"/>
        </w:rPr>
        <w:t>HYRJE</w:t>
      </w:r>
      <w:bookmarkEnd w:id="0"/>
      <w:bookmarkEnd w:id="1"/>
      <w:r w:rsidR="004A61EA">
        <w:rPr>
          <w:lang w:val="sq-AL"/>
        </w:rPr>
        <w:tab/>
      </w:r>
      <w:r w:rsidR="004A61EA">
        <w:rPr>
          <w:lang w:val="sq-AL"/>
        </w:rPr>
        <w:tab/>
      </w:r>
    </w:p>
    <w:p w14:paraId="6BFBECA9" w14:textId="77777777" w:rsidR="000C1859" w:rsidRPr="00834ABE" w:rsidRDefault="000C1859" w:rsidP="000C1859">
      <w:pPr>
        <w:rPr>
          <w:rFonts w:cstheme="minorHAnsi"/>
          <w:lang w:val="sq-AL"/>
        </w:rPr>
      </w:pPr>
    </w:p>
    <w:p w14:paraId="3AB2FF0A" w14:textId="28F9B554" w:rsidR="000C1859" w:rsidRDefault="000C1859" w:rsidP="00332306">
      <w:pPr>
        <w:pStyle w:val="BodyTextIndent"/>
        <w:numPr>
          <w:ilvl w:val="0"/>
          <w:numId w:val="6"/>
        </w:numPr>
        <w:spacing w:after="120"/>
        <w:ind w:left="360" w:firstLine="0"/>
        <w:rPr>
          <w:rFonts w:ascii="Calibri" w:hAnsi="Calibri" w:cs="Arial"/>
          <w:sz w:val="24"/>
          <w:lang w:val="sq-AL"/>
        </w:rPr>
      </w:pPr>
      <w:r w:rsidRPr="002D1870">
        <w:rPr>
          <w:rFonts w:ascii="Calibri" w:hAnsi="Calibri" w:cs="Arial"/>
          <w:sz w:val="24"/>
          <w:lang w:val="sq-AL"/>
        </w:rPr>
        <w:t>Ky raport përfshinë të dhë</w:t>
      </w:r>
      <w:r w:rsidR="00320B3A">
        <w:rPr>
          <w:rFonts w:ascii="Calibri" w:hAnsi="Calibri" w:cs="Arial"/>
          <w:sz w:val="24"/>
          <w:lang w:val="sq-AL"/>
        </w:rPr>
        <w:t xml:space="preserve">nat për periudhën Janar- </w:t>
      </w:r>
      <w:r w:rsidR="007D6A90">
        <w:rPr>
          <w:rFonts w:ascii="Calibri" w:hAnsi="Calibri" w:cs="Arial"/>
          <w:sz w:val="24"/>
          <w:lang w:val="sq-AL"/>
        </w:rPr>
        <w:t>Dhjetor</w:t>
      </w:r>
      <w:r w:rsidRPr="002D1870">
        <w:rPr>
          <w:rFonts w:ascii="Calibri" w:hAnsi="Calibri" w:cs="Arial"/>
          <w:sz w:val="24"/>
          <w:lang w:val="sq-AL"/>
        </w:rPr>
        <w:t xml:space="preserve"> 202</w:t>
      </w:r>
      <w:r w:rsidR="00BA7B76">
        <w:rPr>
          <w:rFonts w:ascii="Calibri" w:hAnsi="Calibri" w:cs="Arial"/>
          <w:sz w:val="24"/>
          <w:lang w:val="sq-AL"/>
        </w:rPr>
        <w:t>4</w:t>
      </w:r>
      <w:r w:rsidRPr="002D1870">
        <w:rPr>
          <w:rFonts w:ascii="Calibri" w:hAnsi="Calibri" w:cs="Arial"/>
          <w:sz w:val="24"/>
          <w:lang w:val="sq-AL"/>
        </w:rPr>
        <w:t xml:space="preserve"> nga Drejtoria për Buxhet dhe Financa, konkr</w:t>
      </w:r>
      <w:r>
        <w:rPr>
          <w:rFonts w:ascii="Calibri" w:hAnsi="Calibri" w:cs="Arial"/>
          <w:sz w:val="24"/>
          <w:lang w:val="sq-AL"/>
        </w:rPr>
        <w:t xml:space="preserve">etisht nga sektori për Buxhet dhe </w:t>
      </w:r>
      <w:r w:rsidRPr="002D1870">
        <w:rPr>
          <w:rFonts w:ascii="Calibri" w:hAnsi="Calibri" w:cs="Arial"/>
          <w:sz w:val="24"/>
          <w:lang w:val="sq-AL"/>
        </w:rPr>
        <w:t>Financave</w:t>
      </w:r>
      <w:r w:rsidR="00D22962">
        <w:rPr>
          <w:rFonts w:ascii="Calibri" w:hAnsi="Calibri" w:cs="Arial"/>
          <w:sz w:val="24"/>
          <w:lang w:val="sq-AL"/>
        </w:rPr>
        <w:t>,</w:t>
      </w:r>
      <w:r w:rsidRPr="002D1870">
        <w:rPr>
          <w:rFonts w:ascii="Calibri" w:hAnsi="Calibri" w:cs="Arial"/>
          <w:sz w:val="24"/>
          <w:lang w:val="sq-AL"/>
        </w:rPr>
        <w:t xml:space="preserve"> dhe sektori i Tatimit në Pronë.</w:t>
      </w:r>
    </w:p>
    <w:p w14:paraId="7FEEEEFB" w14:textId="77777777" w:rsidR="004A61EA" w:rsidRDefault="004A61EA" w:rsidP="004A61EA">
      <w:pPr>
        <w:pStyle w:val="BodyTextIndent"/>
        <w:spacing w:after="120"/>
        <w:rPr>
          <w:rFonts w:ascii="Calibri" w:hAnsi="Calibri" w:cs="Arial"/>
          <w:sz w:val="24"/>
          <w:lang w:val="sq-AL"/>
        </w:rPr>
      </w:pPr>
    </w:p>
    <w:p w14:paraId="0C5316E9" w14:textId="77777777" w:rsidR="004A61EA" w:rsidRPr="002D1870" w:rsidRDefault="004A61EA" w:rsidP="004A61EA">
      <w:pPr>
        <w:pStyle w:val="BodyTextIndent"/>
        <w:spacing w:after="120"/>
        <w:rPr>
          <w:rFonts w:ascii="Calibri" w:hAnsi="Calibri" w:cs="Arial"/>
          <w:sz w:val="24"/>
          <w:lang w:val="sq-AL"/>
        </w:rPr>
      </w:pPr>
    </w:p>
    <w:p w14:paraId="6AA2A8B5" w14:textId="77777777" w:rsidR="000C1859" w:rsidRPr="00645E41" w:rsidRDefault="000C1859" w:rsidP="000C1859">
      <w:pPr>
        <w:pStyle w:val="Heading1"/>
        <w:rPr>
          <w:lang w:val="sq-AL"/>
        </w:rPr>
      </w:pPr>
      <w:bookmarkStart w:id="2" w:name="_Toc526953436"/>
      <w:bookmarkStart w:id="3" w:name="_Toc43215589"/>
      <w:r w:rsidRPr="00645E41">
        <w:rPr>
          <w:lang w:val="sq-AL"/>
        </w:rPr>
        <w:t xml:space="preserve">1. </w:t>
      </w:r>
      <w:bookmarkEnd w:id="2"/>
      <w:r>
        <w:rPr>
          <w:lang w:val="sq-AL"/>
        </w:rPr>
        <w:t>SEKTORI  PËR BUXHET DHE FINANCA</w:t>
      </w:r>
      <w:bookmarkEnd w:id="3"/>
      <w:r w:rsidRPr="00645E41">
        <w:rPr>
          <w:lang w:val="sq-AL"/>
        </w:rPr>
        <w:tab/>
      </w:r>
    </w:p>
    <w:p w14:paraId="7D2F0D34" w14:textId="77777777" w:rsidR="000C1859" w:rsidRDefault="000C1859" w:rsidP="000C1859">
      <w:pPr>
        <w:rPr>
          <w:lang w:val="sq-AL"/>
        </w:rPr>
      </w:pPr>
    </w:p>
    <w:p w14:paraId="111A81D9" w14:textId="77777777" w:rsidR="000C1859" w:rsidRPr="00365E80" w:rsidRDefault="000C1859" w:rsidP="000C1859">
      <w:pPr>
        <w:pStyle w:val="ListParagraph"/>
        <w:numPr>
          <w:ilvl w:val="0"/>
          <w:numId w:val="6"/>
        </w:numPr>
        <w:jc w:val="both"/>
        <w:rPr>
          <w:rFonts w:ascii="Calibri" w:hAnsi="Calibri" w:cs="Arial"/>
          <w:sz w:val="24"/>
          <w:lang w:val="sq-AL"/>
        </w:rPr>
      </w:pPr>
      <w:r w:rsidRPr="00365E80">
        <w:rPr>
          <w:rFonts w:ascii="Calibri" w:hAnsi="Calibri" w:cs="Arial"/>
          <w:sz w:val="24"/>
          <w:lang w:val="sq-AL"/>
        </w:rPr>
        <w:t>Bazuar në obligimet ligjor</w:t>
      </w:r>
      <w:r>
        <w:rPr>
          <w:rFonts w:ascii="Calibri" w:hAnsi="Calibri" w:cs="Arial"/>
          <w:sz w:val="24"/>
          <w:lang w:val="sq-AL"/>
        </w:rPr>
        <w:t>e të cilat dalin nga Ligji mbi Financat Publike dhe P</w:t>
      </w:r>
      <w:r w:rsidR="00D22962">
        <w:rPr>
          <w:rFonts w:ascii="Calibri" w:hAnsi="Calibri" w:cs="Arial"/>
          <w:sz w:val="24"/>
          <w:lang w:val="sq-AL"/>
        </w:rPr>
        <w:t>ërgjegjësitë Drejtoria për Buxhet dhe Financa</w:t>
      </w:r>
      <w:r w:rsidR="001C1611">
        <w:rPr>
          <w:rFonts w:ascii="Calibri" w:hAnsi="Calibri" w:cs="Arial"/>
          <w:sz w:val="24"/>
          <w:lang w:val="sq-AL"/>
        </w:rPr>
        <w:t>,</w:t>
      </w:r>
      <w:r w:rsidRPr="00365E80">
        <w:rPr>
          <w:rFonts w:ascii="Calibri" w:hAnsi="Calibri" w:cs="Arial"/>
          <w:sz w:val="24"/>
          <w:lang w:val="sq-AL"/>
        </w:rPr>
        <w:t xml:space="preserve"> </w:t>
      </w:r>
      <w:r w:rsidR="00D22962">
        <w:rPr>
          <w:rFonts w:ascii="Calibri" w:hAnsi="Calibri" w:cs="Arial"/>
          <w:sz w:val="24"/>
          <w:lang w:val="sq-AL"/>
        </w:rPr>
        <w:t>ka kryë</w:t>
      </w:r>
      <w:r w:rsidRPr="00365E80">
        <w:rPr>
          <w:rFonts w:ascii="Calibri" w:hAnsi="Calibri" w:cs="Arial"/>
          <w:sz w:val="24"/>
          <w:lang w:val="sq-AL"/>
        </w:rPr>
        <w:t xml:space="preserve">r të gjitha detyrat dhe obligimet që i takojnë kësaj drejtorie. </w:t>
      </w:r>
    </w:p>
    <w:p w14:paraId="40F42258" w14:textId="77777777" w:rsidR="000C1859" w:rsidRPr="002D1870" w:rsidRDefault="000C1859" w:rsidP="000C1859">
      <w:pPr>
        <w:jc w:val="both"/>
        <w:rPr>
          <w:rFonts w:ascii="Calibri" w:hAnsi="Calibri" w:cs="Arial"/>
          <w:sz w:val="24"/>
          <w:lang w:val="sq-AL"/>
        </w:rPr>
      </w:pPr>
    </w:p>
    <w:p w14:paraId="70D672DE" w14:textId="77777777" w:rsidR="000C1859" w:rsidRPr="00365E80" w:rsidRDefault="000C1859" w:rsidP="000C185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Në Drejtorin e F</w:t>
      </w:r>
      <w:r w:rsidR="0017103E">
        <w:rPr>
          <w:rFonts w:ascii="Calibri" w:hAnsi="Calibri" w:cs="Arial"/>
          <w:sz w:val="24"/>
          <w:lang w:val="sq-AL"/>
        </w:rPr>
        <w:t>inancave është</w:t>
      </w:r>
      <w:r w:rsidRPr="00365E80">
        <w:rPr>
          <w:rFonts w:ascii="Calibri" w:hAnsi="Calibri" w:cs="Arial"/>
          <w:sz w:val="24"/>
          <w:lang w:val="sq-AL"/>
        </w:rPr>
        <w:t xml:space="preserve"> arritur që detyrat</w:t>
      </w:r>
      <w:r w:rsidR="0017103E">
        <w:rPr>
          <w:rFonts w:ascii="Calibri" w:hAnsi="Calibri" w:cs="Arial"/>
          <w:sz w:val="24"/>
          <w:lang w:val="sq-AL"/>
        </w:rPr>
        <w:t xml:space="preserve"> dhe përgjegjësit</w:t>
      </w:r>
      <w:r w:rsidRPr="00365E80">
        <w:rPr>
          <w:rFonts w:ascii="Calibri" w:hAnsi="Calibri" w:cs="Arial"/>
          <w:sz w:val="24"/>
          <w:lang w:val="sq-AL"/>
        </w:rPr>
        <w:t xml:space="preserve"> </w:t>
      </w:r>
      <w:r w:rsidR="0017103E">
        <w:rPr>
          <w:rFonts w:ascii="Calibri" w:hAnsi="Calibri" w:cs="Arial"/>
          <w:sz w:val="24"/>
          <w:lang w:val="sq-AL"/>
        </w:rPr>
        <w:t>janë kryër në afate ligjore</w:t>
      </w:r>
      <w:r w:rsidR="00667FEE">
        <w:rPr>
          <w:rFonts w:ascii="Calibri" w:hAnsi="Calibri" w:cs="Arial"/>
          <w:sz w:val="24"/>
          <w:lang w:val="sq-AL"/>
        </w:rPr>
        <w:t xml:space="preserve"> dhe në kohë, dhe çdo e hyrë</w:t>
      </w:r>
      <w:r w:rsidR="0017103E">
        <w:rPr>
          <w:rFonts w:ascii="Calibri" w:hAnsi="Calibri" w:cs="Arial"/>
          <w:sz w:val="24"/>
          <w:lang w:val="sq-AL"/>
        </w:rPr>
        <w:t xml:space="preserve"> dhe shpenzim është evidentuar në sistemin e SIMFK </w:t>
      </w:r>
      <w:r w:rsidRPr="00365E80">
        <w:rPr>
          <w:rFonts w:ascii="Calibri" w:hAnsi="Calibri" w:cs="Arial"/>
          <w:sz w:val="24"/>
          <w:lang w:val="sq-AL"/>
        </w:rPr>
        <w:t>.</w:t>
      </w:r>
    </w:p>
    <w:p w14:paraId="6E0193E0" w14:textId="57475673" w:rsidR="000C1859" w:rsidRPr="00365E80" w:rsidRDefault="000C1859" w:rsidP="000C185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 w:rsidRPr="00365E80">
        <w:rPr>
          <w:rFonts w:ascii="Calibri" w:hAnsi="Calibri" w:cs="Arial"/>
          <w:sz w:val="24"/>
          <w:lang w:val="sq-AL"/>
        </w:rPr>
        <w:t xml:space="preserve">Gjate kësaj periudhe të punës </w:t>
      </w:r>
      <w:r w:rsidR="007C060D">
        <w:rPr>
          <w:rFonts w:ascii="Calibri" w:hAnsi="Calibri" w:cs="Arial"/>
          <w:sz w:val="24"/>
          <w:lang w:val="sq-AL"/>
        </w:rPr>
        <w:t xml:space="preserve">jemi përballur me zbatimin e kontratën kolektive në Arsim dhe </w:t>
      </w:r>
      <w:proofErr w:type="spellStart"/>
      <w:r w:rsidR="007C060D">
        <w:rPr>
          <w:rFonts w:ascii="Calibri" w:hAnsi="Calibri" w:cs="Arial"/>
          <w:sz w:val="24"/>
          <w:lang w:val="sq-AL"/>
        </w:rPr>
        <w:t>Shëndetsi,nj</w:t>
      </w:r>
      <w:r w:rsidR="00BA7B76">
        <w:rPr>
          <w:rFonts w:ascii="Calibri" w:hAnsi="Calibri" w:cs="Arial"/>
          <w:sz w:val="24"/>
          <w:lang w:val="sq-AL"/>
        </w:rPr>
        <w:t>ë</w:t>
      </w:r>
      <w:proofErr w:type="spellEnd"/>
      <w:r w:rsidR="007C060D">
        <w:rPr>
          <w:rFonts w:ascii="Calibri" w:hAnsi="Calibri" w:cs="Arial"/>
          <w:sz w:val="24"/>
          <w:lang w:val="sq-AL"/>
        </w:rPr>
        <w:t xml:space="preserve"> pjesë e madhe e mjeteve janë paguar nga kategoria e pagave për zbatimin e </w:t>
      </w:r>
      <w:r w:rsidR="00BA7B76">
        <w:rPr>
          <w:rFonts w:ascii="Calibri" w:hAnsi="Calibri" w:cs="Arial"/>
          <w:sz w:val="24"/>
          <w:lang w:val="sq-AL"/>
        </w:rPr>
        <w:t>kësaj</w:t>
      </w:r>
      <w:r w:rsidR="007C060D">
        <w:rPr>
          <w:rFonts w:ascii="Calibri" w:hAnsi="Calibri" w:cs="Arial"/>
          <w:sz w:val="24"/>
          <w:lang w:val="sq-AL"/>
        </w:rPr>
        <w:t xml:space="preserve"> kontrate</w:t>
      </w:r>
    </w:p>
    <w:p w14:paraId="4D92E180" w14:textId="00375188" w:rsidR="000C1859" w:rsidRDefault="000C1859" w:rsidP="000C185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 w:rsidRPr="00365E80">
        <w:rPr>
          <w:rFonts w:ascii="Calibri" w:hAnsi="Calibri" w:cs="Arial"/>
          <w:sz w:val="24"/>
          <w:lang w:val="sq-AL"/>
        </w:rPr>
        <w:t xml:space="preserve">Tek shpenzimet Operative kemi </w:t>
      </w:r>
      <w:r w:rsidR="00CF1E0C">
        <w:rPr>
          <w:rFonts w:ascii="Calibri" w:hAnsi="Calibri" w:cs="Arial"/>
          <w:sz w:val="24"/>
          <w:lang w:val="sq-AL"/>
        </w:rPr>
        <w:t xml:space="preserve">pasur kujdese të shpenzimi i buxhetit te </w:t>
      </w:r>
      <w:r w:rsidRPr="00365E80">
        <w:rPr>
          <w:rFonts w:ascii="Calibri" w:hAnsi="Calibri" w:cs="Arial"/>
          <w:sz w:val="24"/>
          <w:lang w:val="sq-AL"/>
        </w:rPr>
        <w:t xml:space="preserve"> disa shpenzime pa e dëmtua</w:t>
      </w:r>
      <w:r w:rsidR="0017103E">
        <w:rPr>
          <w:rFonts w:ascii="Calibri" w:hAnsi="Calibri" w:cs="Arial"/>
          <w:sz w:val="24"/>
          <w:lang w:val="sq-AL"/>
        </w:rPr>
        <w:t>r procesin e punës,kujdesë të veqantë respektimi i rregulloreve dhe udhëzimeve adminstrative</w:t>
      </w:r>
      <w:r w:rsidR="00A60CC8">
        <w:rPr>
          <w:rFonts w:ascii="Calibri" w:hAnsi="Calibri" w:cs="Arial"/>
          <w:sz w:val="24"/>
          <w:lang w:val="sq-AL"/>
        </w:rPr>
        <w:t>,</w:t>
      </w:r>
      <w:r w:rsidR="0017103E">
        <w:rPr>
          <w:rFonts w:ascii="Calibri" w:hAnsi="Calibri" w:cs="Arial"/>
          <w:sz w:val="24"/>
          <w:lang w:val="sq-AL"/>
        </w:rPr>
        <w:t>në menyrë qe mosë krijojmë keqklasifikime</w:t>
      </w:r>
      <w:r w:rsidR="00005096">
        <w:rPr>
          <w:rFonts w:ascii="Calibri" w:hAnsi="Calibri" w:cs="Arial"/>
          <w:sz w:val="24"/>
          <w:lang w:val="sq-AL"/>
        </w:rPr>
        <w:t xml:space="preserve"> në buxhet,</w:t>
      </w:r>
      <w:r w:rsidRPr="00365E80">
        <w:rPr>
          <w:rFonts w:ascii="Calibri" w:hAnsi="Calibri" w:cs="Arial"/>
          <w:sz w:val="24"/>
          <w:lang w:val="sq-AL"/>
        </w:rPr>
        <w:t xml:space="preserve"> duke r</w:t>
      </w:r>
      <w:r>
        <w:rPr>
          <w:rFonts w:ascii="Calibri" w:hAnsi="Calibri" w:cs="Arial"/>
          <w:sz w:val="24"/>
          <w:lang w:val="sq-AL"/>
        </w:rPr>
        <w:t>e</w:t>
      </w:r>
      <w:r w:rsidRPr="00365E80">
        <w:rPr>
          <w:rFonts w:ascii="Calibri" w:hAnsi="Calibri" w:cs="Arial"/>
          <w:sz w:val="24"/>
          <w:lang w:val="sq-AL"/>
        </w:rPr>
        <w:t>spektuar edhe afate ligjore të cilat janë të rreg</w:t>
      </w:r>
      <w:r>
        <w:rPr>
          <w:rFonts w:ascii="Calibri" w:hAnsi="Calibri" w:cs="Arial"/>
          <w:sz w:val="24"/>
          <w:lang w:val="sq-AL"/>
        </w:rPr>
        <w:t>ulluara me</w:t>
      </w:r>
      <w:r w:rsidRPr="00365E80">
        <w:rPr>
          <w:rFonts w:ascii="Calibri" w:hAnsi="Calibri" w:cs="Arial"/>
          <w:sz w:val="24"/>
          <w:lang w:val="sq-AL"/>
        </w:rPr>
        <w:t xml:space="preserve"> ligjet për </w:t>
      </w:r>
      <w:r>
        <w:rPr>
          <w:rFonts w:ascii="Calibri" w:hAnsi="Calibri" w:cs="Arial"/>
          <w:sz w:val="24"/>
          <w:lang w:val="sq-AL"/>
        </w:rPr>
        <w:t xml:space="preserve"> Financat P</w:t>
      </w:r>
      <w:r w:rsidRPr="00365E80">
        <w:rPr>
          <w:rFonts w:ascii="Calibri" w:hAnsi="Calibri" w:cs="Arial"/>
          <w:sz w:val="24"/>
          <w:lang w:val="sq-AL"/>
        </w:rPr>
        <w:t>ublike.</w:t>
      </w:r>
      <w:r w:rsidR="00583608">
        <w:rPr>
          <w:rFonts w:ascii="Calibri" w:hAnsi="Calibri" w:cs="Arial"/>
          <w:sz w:val="24"/>
          <w:lang w:val="sq-AL"/>
        </w:rPr>
        <w:t>Deri në ketë periudhë raportuse, shpënzimi i buxhetit është arritur në 9</w:t>
      </w:r>
      <w:r w:rsidR="00B36285">
        <w:rPr>
          <w:rFonts w:ascii="Calibri" w:hAnsi="Calibri" w:cs="Arial"/>
          <w:sz w:val="24"/>
          <w:lang w:val="sq-AL"/>
        </w:rPr>
        <w:t>4.66</w:t>
      </w:r>
      <w:r w:rsidR="00583608">
        <w:rPr>
          <w:rFonts w:ascii="Calibri" w:hAnsi="Calibri" w:cs="Arial"/>
          <w:sz w:val="24"/>
          <w:lang w:val="sq-AL"/>
        </w:rPr>
        <w:t xml:space="preserve">%, ndërsa të hyrat e përgjithshme janë tëjkaluar në raport me plan në </w:t>
      </w:r>
      <w:r w:rsidR="009A522C" w:rsidRPr="009A522C">
        <w:rPr>
          <w:rFonts w:ascii="Calibri" w:hAnsi="Calibri" w:cs="Arial"/>
          <w:sz w:val="24"/>
          <w:lang w:val="sq-AL"/>
        </w:rPr>
        <w:t>18.23</w:t>
      </w:r>
      <w:r w:rsidR="00583608" w:rsidRPr="009A522C">
        <w:rPr>
          <w:rFonts w:ascii="Calibri" w:hAnsi="Calibri" w:cs="Arial"/>
          <w:sz w:val="24"/>
          <w:lang w:val="sq-AL"/>
        </w:rPr>
        <w:t>%.</w:t>
      </w:r>
    </w:p>
    <w:p w14:paraId="16E1BF59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6D76769F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74B1A1ED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5D9DFE27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112BFE27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5FC1EBCB" w14:textId="77777777" w:rsidR="004A61EA" w:rsidRDefault="004A61EA" w:rsidP="004A61EA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2D7FAB7B" w14:textId="0B546D77" w:rsidR="000C1859" w:rsidRPr="00834ABE" w:rsidRDefault="000C1859" w:rsidP="000C1859">
      <w:pPr>
        <w:pStyle w:val="Heading1"/>
        <w:rPr>
          <w:lang w:val="sq-AL"/>
        </w:rPr>
      </w:pPr>
      <w:bookmarkStart w:id="4" w:name="_Toc526953441"/>
      <w:bookmarkStart w:id="5" w:name="_Toc43215590"/>
      <w:r w:rsidRPr="00834ABE">
        <w:rPr>
          <w:lang w:val="sq-AL"/>
        </w:rPr>
        <w:lastRenderedPageBreak/>
        <w:t xml:space="preserve">2. </w:t>
      </w:r>
      <w:bookmarkEnd w:id="4"/>
      <w:r>
        <w:rPr>
          <w:lang w:val="sq-AL"/>
        </w:rPr>
        <w:t>BUXHETI 202</w:t>
      </w:r>
      <w:bookmarkEnd w:id="5"/>
      <w:r w:rsidR="00B36285">
        <w:rPr>
          <w:lang w:val="sq-AL"/>
        </w:rPr>
        <w:t>4</w:t>
      </w:r>
    </w:p>
    <w:p w14:paraId="15E25445" w14:textId="77777777" w:rsidR="000C1859" w:rsidRDefault="000C1859" w:rsidP="000C1859">
      <w:pPr>
        <w:jc w:val="both"/>
        <w:rPr>
          <w:rFonts w:ascii="Calibri" w:hAnsi="Calibri" w:cs="Arial"/>
          <w:sz w:val="24"/>
          <w:lang w:val="sq-AL"/>
        </w:rPr>
      </w:pPr>
    </w:p>
    <w:p w14:paraId="26C79297" w14:textId="77777777" w:rsidR="000C1859" w:rsidRPr="001B192B" w:rsidRDefault="000C1859" w:rsidP="000C1859">
      <w:pPr>
        <w:ind w:left="360"/>
        <w:jc w:val="both"/>
        <w:rPr>
          <w:rFonts w:ascii="Calibri" w:hAnsi="Calibri"/>
          <w:sz w:val="24"/>
          <w:lang w:val="sq-AL"/>
        </w:rPr>
      </w:pPr>
    </w:p>
    <w:p w14:paraId="514F752F" w14:textId="59818DC4" w:rsidR="000C1859" w:rsidRPr="005478C3" w:rsidRDefault="000C1859" w:rsidP="00332306">
      <w:pPr>
        <w:pStyle w:val="ListParagraph"/>
        <w:numPr>
          <w:ilvl w:val="0"/>
          <w:numId w:val="4"/>
        </w:numPr>
        <w:ind w:left="0" w:firstLine="450"/>
        <w:jc w:val="both"/>
        <w:rPr>
          <w:rFonts w:ascii="Calibri" w:hAnsi="Calibri" w:cs="Arial"/>
          <w:b/>
          <w:sz w:val="24"/>
          <w:lang w:val="sq-AL"/>
        </w:rPr>
      </w:pPr>
      <w:r w:rsidRPr="005478C3">
        <w:rPr>
          <w:rFonts w:ascii="Calibri" w:hAnsi="Calibri" w:cs="Arial"/>
          <w:b/>
          <w:sz w:val="24"/>
          <w:lang w:val="sq-AL"/>
        </w:rPr>
        <w:t>Buxheti i Kom</w:t>
      </w:r>
      <w:r w:rsidR="00CB2EC1">
        <w:rPr>
          <w:rFonts w:ascii="Calibri" w:hAnsi="Calibri" w:cs="Arial"/>
          <w:b/>
          <w:sz w:val="24"/>
          <w:lang w:val="sq-AL"/>
        </w:rPr>
        <w:t>unës së Rahovecit për vitin 202</w:t>
      </w:r>
      <w:r w:rsidR="00956573">
        <w:rPr>
          <w:rFonts w:ascii="Calibri" w:hAnsi="Calibri" w:cs="Arial"/>
          <w:b/>
          <w:sz w:val="24"/>
          <w:lang w:val="sq-AL"/>
        </w:rPr>
        <w:t>4</w:t>
      </w:r>
      <w:r w:rsidRPr="005478C3">
        <w:rPr>
          <w:rFonts w:ascii="Calibri" w:hAnsi="Calibri" w:cs="Arial"/>
          <w:b/>
          <w:sz w:val="24"/>
          <w:lang w:val="sq-AL"/>
        </w:rPr>
        <w:t xml:space="preserve"> ndahet në dy fonde burimore:</w:t>
      </w:r>
    </w:p>
    <w:p w14:paraId="704F6D1B" w14:textId="77777777" w:rsidR="000C1859" w:rsidRPr="005478C3" w:rsidRDefault="000C1859" w:rsidP="000C1859">
      <w:pPr>
        <w:pStyle w:val="ListParagraph"/>
        <w:spacing w:line="360" w:lineRule="auto"/>
        <w:rPr>
          <w:rFonts w:ascii="Calibri" w:hAnsi="Calibri" w:cs="Arial"/>
          <w:sz w:val="24"/>
          <w:lang w:val="sq-AL"/>
        </w:rPr>
      </w:pPr>
    </w:p>
    <w:p w14:paraId="32198744" w14:textId="10E725A6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 w:rsidRPr="002D1870">
        <w:rPr>
          <w:rFonts w:ascii="Calibri" w:hAnsi="Calibri" w:cs="Arial"/>
          <w:sz w:val="24"/>
          <w:lang w:val="sq-AL"/>
        </w:rPr>
        <w:t>Grandi i qeveritar .........................................</w:t>
      </w:r>
      <w:r w:rsidR="0080532A">
        <w:rPr>
          <w:rFonts w:ascii="Calibri" w:hAnsi="Calibri" w:cs="Arial"/>
          <w:sz w:val="24"/>
          <w:lang w:val="sq-AL"/>
        </w:rPr>
        <w:t>...........</w:t>
      </w:r>
      <w:r w:rsidR="00777799">
        <w:rPr>
          <w:rFonts w:ascii="Calibri" w:hAnsi="Calibri" w:cs="Arial"/>
          <w:sz w:val="24"/>
          <w:lang w:val="sq-AL"/>
        </w:rPr>
        <w:t>...............</w:t>
      </w:r>
      <w:r w:rsidR="00B36285" w:rsidRPr="00B36285">
        <w:t xml:space="preserve"> </w:t>
      </w:r>
      <w:r w:rsidR="00B36285" w:rsidRPr="00B36285">
        <w:rPr>
          <w:rFonts w:ascii="Calibri" w:hAnsi="Calibri" w:cs="Arial"/>
          <w:sz w:val="24"/>
          <w:lang w:val="sq-AL"/>
        </w:rPr>
        <w:t>18,189,88</w:t>
      </w:r>
      <w:r w:rsidR="00956573">
        <w:rPr>
          <w:rFonts w:ascii="Calibri" w:hAnsi="Calibri" w:cs="Arial"/>
          <w:sz w:val="24"/>
          <w:lang w:val="sq-AL"/>
        </w:rPr>
        <w:t>2.00</w:t>
      </w:r>
      <w:r w:rsidRPr="002D1870">
        <w:rPr>
          <w:rFonts w:ascii="Calibri" w:hAnsi="Calibri" w:cs="Arial"/>
          <w:sz w:val="24"/>
          <w:lang w:val="sq-AL"/>
        </w:rPr>
        <w:t>€</w:t>
      </w:r>
    </w:p>
    <w:p w14:paraId="18670942" w14:textId="715C0945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 w:rsidRPr="002D1870">
        <w:rPr>
          <w:rFonts w:ascii="Calibri" w:hAnsi="Calibri" w:cs="Arial"/>
          <w:sz w:val="24"/>
          <w:lang w:val="sq-AL"/>
        </w:rPr>
        <w:t>Të hyrat vetanake .........................................</w:t>
      </w:r>
      <w:r w:rsidR="009E64BF">
        <w:rPr>
          <w:rFonts w:ascii="Calibri" w:hAnsi="Calibri" w:cs="Arial"/>
          <w:sz w:val="24"/>
          <w:lang w:val="sq-AL"/>
        </w:rPr>
        <w:t>.</w:t>
      </w:r>
      <w:r w:rsidR="00777799">
        <w:rPr>
          <w:rFonts w:ascii="Calibri" w:hAnsi="Calibri" w:cs="Arial"/>
          <w:sz w:val="24"/>
          <w:lang w:val="sq-AL"/>
        </w:rPr>
        <w:t>...........................</w:t>
      </w:r>
      <w:r w:rsidR="00B36285" w:rsidRPr="00B36285">
        <w:t xml:space="preserve"> </w:t>
      </w:r>
      <w:r w:rsidR="00B36285" w:rsidRPr="00B36285">
        <w:rPr>
          <w:rFonts w:ascii="Calibri" w:hAnsi="Calibri" w:cs="Arial"/>
          <w:sz w:val="24"/>
          <w:lang w:val="sq-AL"/>
        </w:rPr>
        <w:t>1,614,904.00</w:t>
      </w:r>
      <w:r w:rsidRPr="002D1870">
        <w:rPr>
          <w:rFonts w:ascii="Calibri" w:hAnsi="Calibri" w:cs="Arial"/>
          <w:sz w:val="24"/>
          <w:lang w:val="sq-AL"/>
        </w:rPr>
        <w:t>€</w:t>
      </w:r>
    </w:p>
    <w:p w14:paraId="43DADC61" w14:textId="4371F4F2" w:rsidR="000C1859" w:rsidRPr="00A70D99" w:rsidRDefault="000C1859" w:rsidP="00A70D99">
      <w:pPr>
        <w:spacing w:line="360" w:lineRule="auto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 xml:space="preserve">                                                                                     </w:t>
      </w:r>
      <w:r w:rsidR="00A70D99">
        <w:rPr>
          <w:rFonts w:ascii="Calibri" w:hAnsi="Calibri" w:cs="Arial"/>
          <w:sz w:val="24"/>
          <w:lang w:val="sq-AL"/>
        </w:rPr>
        <w:t xml:space="preserve">               </w:t>
      </w:r>
      <w:r w:rsidR="006A6FB8">
        <w:rPr>
          <w:rFonts w:ascii="Calibri" w:hAnsi="Calibri" w:cs="Arial"/>
          <w:sz w:val="24"/>
          <w:lang w:val="sq-AL"/>
        </w:rPr>
        <w:t>Gjithsej:......</w:t>
      </w:r>
      <w:r w:rsidR="00B36285" w:rsidRPr="00B36285">
        <w:t xml:space="preserve"> </w:t>
      </w:r>
      <w:r w:rsidR="00B36285" w:rsidRPr="00B36285">
        <w:rPr>
          <w:rFonts w:ascii="Calibri" w:hAnsi="Calibri" w:cs="Arial"/>
          <w:sz w:val="24"/>
          <w:lang w:val="sq-AL"/>
        </w:rPr>
        <w:t>19,804,78</w:t>
      </w:r>
      <w:r w:rsidR="00B366B2">
        <w:rPr>
          <w:rFonts w:ascii="Calibri" w:hAnsi="Calibri" w:cs="Arial"/>
          <w:sz w:val="24"/>
          <w:lang w:val="sq-AL"/>
        </w:rPr>
        <w:t>5</w:t>
      </w:r>
      <w:r w:rsidR="00956573">
        <w:rPr>
          <w:rFonts w:ascii="Calibri" w:hAnsi="Calibri" w:cs="Arial"/>
          <w:sz w:val="24"/>
          <w:lang w:val="sq-AL"/>
        </w:rPr>
        <w:t>.</w:t>
      </w:r>
      <w:r w:rsidR="00B366B2">
        <w:rPr>
          <w:rFonts w:ascii="Calibri" w:hAnsi="Calibri" w:cs="Arial"/>
          <w:sz w:val="24"/>
          <w:lang w:val="sq-AL"/>
        </w:rPr>
        <w:t>56</w:t>
      </w:r>
      <w:r w:rsidR="00956573">
        <w:rPr>
          <w:rFonts w:ascii="Calibri" w:hAnsi="Calibri" w:cs="Arial"/>
          <w:sz w:val="24"/>
          <w:lang w:val="sq-AL"/>
        </w:rPr>
        <w:t xml:space="preserve"> </w:t>
      </w:r>
      <w:r w:rsidRPr="00A70D99">
        <w:rPr>
          <w:rFonts w:ascii="Calibri" w:hAnsi="Calibri" w:cs="Arial"/>
          <w:sz w:val="24"/>
          <w:lang w:val="sq-AL"/>
        </w:rPr>
        <w:t>€</w:t>
      </w:r>
    </w:p>
    <w:p w14:paraId="3E453FF1" w14:textId="77777777" w:rsidR="000C1859" w:rsidRPr="002D1870" w:rsidRDefault="000C1859" w:rsidP="000C1859">
      <w:pPr>
        <w:jc w:val="both"/>
        <w:rPr>
          <w:rFonts w:ascii="Calibri" w:hAnsi="Calibri" w:cs="Arial"/>
          <w:sz w:val="24"/>
          <w:lang w:val="sq-AL"/>
        </w:rPr>
      </w:pPr>
    </w:p>
    <w:p w14:paraId="01B2DE11" w14:textId="440F9C97" w:rsidR="000C1859" w:rsidRPr="005478C3" w:rsidRDefault="000C1859" w:rsidP="000C1859">
      <w:pPr>
        <w:pStyle w:val="ListParagraph"/>
        <w:numPr>
          <w:ilvl w:val="0"/>
          <w:numId w:val="3"/>
        </w:numPr>
        <w:rPr>
          <w:rFonts w:ascii="Calibri" w:hAnsi="Calibri" w:cs="Arial"/>
          <w:b/>
          <w:sz w:val="24"/>
          <w:lang w:val="sq-AL"/>
        </w:rPr>
      </w:pPr>
      <w:r w:rsidRPr="005478C3">
        <w:rPr>
          <w:rFonts w:ascii="Calibri" w:hAnsi="Calibri" w:cs="Arial"/>
          <w:b/>
          <w:sz w:val="24"/>
          <w:lang w:val="sq-AL"/>
        </w:rPr>
        <w:t xml:space="preserve">Buxheti </w:t>
      </w:r>
      <w:r w:rsidR="00956573">
        <w:rPr>
          <w:rFonts w:ascii="Calibri" w:hAnsi="Calibri" w:cs="Arial"/>
          <w:b/>
          <w:sz w:val="24"/>
          <w:lang w:val="sq-AL"/>
        </w:rPr>
        <w:t xml:space="preserve">fillestar </w:t>
      </w:r>
      <w:r w:rsidRPr="005478C3">
        <w:rPr>
          <w:rFonts w:ascii="Calibri" w:hAnsi="Calibri" w:cs="Arial"/>
          <w:b/>
          <w:sz w:val="24"/>
          <w:lang w:val="sq-AL"/>
        </w:rPr>
        <w:t>për vitin 202</w:t>
      </w:r>
      <w:r w:rsidR="00956573">
        <w:rPr>
          <w:rFonts w:ascii="Calibri" w:hAnsi="Calibri" w:cs="Arial"/>
          <w:b/>
          <w:sz w:val="24"/>
          <w:lang w:val="sq-AL"/>
        </w:rPr>
        <w:t>4</w:t>
      </w:r>
      <w:r w:rsidRPr="005478C3">
        <w:rPr>
          <w:rFonts w:ascii="Calibri" w:hAnsi="Calibri" w:cs="Arial"/>
          <w:b/>
          <w:sz w:val="24"/>
          <w:lang w:val="sq-AL"/>
        </w:rPr>
        <w:t xml:space="preserve"> i shpërndarë sipas kategorive ekonomike:</w:t>
      </w:r>
    </w:p>
    <w:p w14:paraId="45FDD9AA" w14:textId="73C67BB5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Paga dhe M</w:t>
      </w:r>
      <w:r w:rsidRPr="002D1870">
        <w:rPr>
          <w:rFonts w:ascii="Calibri" w:hAnsi="Calibri" w:cs="Arial"/>
          <w:sz w:val="24"/>
          <w:lang w:val="sq-AL"/>
        </w:rPr>
        <w:t>ëditje .................................................................</w:t>
      </w:r>
      <w:r>
        <w:rPr>
          <w:rFonts w:ascii="Calibri" w:hAnsi="Calibri" w:cs="Arial"/>
          <w:sz w:val="24"/>
          <w:lang w:val="sq-AL"/>
        </w:rPr>
        <w:t>....</w:t>
      </w:r>
      <w:r w:rsidR="004E5BC4" w:rsidRPr="004E5BC4">
        <w:t xml:space="preserve"> </w:t>
      </w:r>
      <w:r w:rsidR="004E5BC4" w:rsidRPr="004E5BC4">
        <w:rPr>
          <w:rFonts w:ascii="Calibri" w:hAnsi="Calibri" w:cs="Arial"/>
          <w:sz w:val="24"/>
          <w:lang w:val="sq-AL"/>
        </w:rPr>
        <w:t>10,407,313.56</w:t>
      </w:r>
      <w:r w:rsidRPr="002D1870">
        <w:rPr>
          <w:rFonts w:ascii="Calibri" w:hAnsi="Calibri" w:cs="Arial"/>
          <w:sz w:val="24"/>
          <w:lang w:val="sq-AL"/>
        </w:rPr>
        <w:t>€</w:t>
      </w:r>
    </w:p>
    <w:p w14:paraId="36941E09" w14:textId="06CA08E0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Mallra dhe S</w:t>
      </w:r>
      <w:r w:rsidRPr="002D1870">
        <w:rPr>
          <w:rFonts w:ascii="Calibri" w:hAnsi="Calibri" w:cs="Arial"/>
          <w:sz w:val="24"/>
          <w:lang w:val="sq-AL"/>
        </w:rPr>
        <w:t>hërbime............................................................</w:t>
      </w:r>
      <w:r>
        <w:rPr>
          <w:rFonts w:ascii="Calibri" w:hAnsi="Calibri" w:cs="Arial"/>
          <w:sz w:val="24"/>
          <w:lang w:val="sq-AL"/>
        </w:rPr>
        <w:t>.</w:t>
      </w:r>
      <w:r w:rsidR="00956573">
        <w:rPr>
          <w:rFonts w:ascii="Calibri" w:hAnsi="Calibri" w:cs="Arial"/>
          <w:sz w:val="24"/>
          <w:lang w:val="sq-AL"/>
        </w:rPr>
        <w:t>..</w:t>
      </w:r>
      <w:r>
        <w:rPr>
          <w:rFonts w:ascii="Calibri" w:hAnsi="Calibri" w:cs="Arial"/>
          <w:sz w:val="24"/>
          <w:lang w:val="sq-AL"/>
        </w:rPr>
        <w:t>...</w:t>
      </w:r>
      <w:r w:rsidR="007E4863">
        <w:rPr>
          <w:rFonts w:ascii="Calibri" w:hAnsi="Calibri" w:cs="Arial"/>
          <w:sz w:val="24"/>
          <w:lang w:val="sq-AL"/>
        </w:rPr>
        <w:t>.</w:t>
      </w:r>
      <w:r w:rsidR="004E5BC4" w:rsidRPr="004E5BC4">
        <w:t xml:space="preserve"> </w:t>
      </w:r>
      <w:r w:rsidR="004E5BC4" w:rsidRPr="004E5BC4">
        <w:rPr>
          <w:rFonts w:ascii="Calibri" w:hAnsi="Calibri" w:cs="Arial"/>
          <w:sz w:val="24"/>
          <w:lang w:val="sq-AL"/>
        </w:rPr>
        <w:t>2,466,340.00</w:t>
      </w:r>
      <w:r w:rsidRPr="002D1870">
        <w:rPr>
          <w:rFonts w:ascii="Calibri" w:hAnsi="Calibri" w:cs="Arial"/>
          <w:sz w:val="24"/>
          <w:lang w:val="sq-AL"/>
        </w:rPr>
        <w:t>€</w:t>
      </w:r>
    </w:p>
    <w:p w14:paraId="6B51107D" w14:textId="553DA08E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Shpenzime K</w:t>
      </w:r>
      <w:r w:rsidRPr="002D1870">
        <w:rPr>
          <w:rFonts w:ascii="Calibri" w:hAnsi="Calibri" w:cs="Arial"/>
          <w:sz w:val="24"/>
          <w:lang w:val="sq-AL"/>
        </w:rPr>
        <w:t>omunale ...........................................................</w:t>
      </w:r>
      <w:r w:rsidR="00956573">
        <w:rPr>
          <w:rFonts w:ascii="Calibri" w:hAnsi="Calibri" w:cs="Arial"/>
          <w:sz w:val="24"/>
          <w:lang w:val="sq-AL"/>
        </w:rPr>
        <w:t>...</w:t>
      </w:r>
      <w:r w:rsidRPr="002D1870">
        <w:rPr>
          <w:rFonts w:ascii="Calibri" w:hAnsi="Calibri" w:cs="Arial"/>
          <w:sz w:val="24"/>
          <w:lang w:val="sq-AL"/>
        </w:rPr>
        <w:t>..</w:t>
      </w:r>
      <w:r>
        <w:rPr>
          <w:rFonts w:ascii="Calibri" w:hAnsi="Calibri" w:cs="Arial"/>
          <w:sz w:val="24"/>
          <w:lang w:val="sq-AL"/>
        </w:rPr>
        <w:t>...</w:t>
      </w:r>
      <w:r w:rsidR="000F6520">
        <w:rPr>
          <w:rFonts w:ascii="Calibri" w:hAnsi="Calibri" w:cs="Arial"/>
          <w:sz w:val="24"/>
          <w:lang w:val="sq-AL"/>
        </w:rPr>
        <w:t>.</w:t>
      </w:r>
      <w:r w:rsidR="004E5BC4" w:rsidRPr="004E5BC4">
        <w:t xml:space="preserve"> </w:t>
      </w:r>
      <w:r w:rsidR="004E5BC4" w:rsidRPr="004E5BC4">
        <w:rPr>
          <w:rFonts w:ascii="Calibri" w:hAnsi="Calibri" w:cs="Arial"/>
          <w:sz w:val="24"/>
          <w:lang w:val="sq-AL"/>
        </w:rPr>
        <w:t>390,000.00</w:t>
      </w:r>
      <w:r w:rsidRPr="002D1870">
        <w:rPr>
          <w:rFonts w:ascii="Calibri" w:hAnsi="Calibri" w:cs="Arial"/>
          <w:sz w:val="24"/>
          <w:lang w:val="sq-AL"/>
        </w:rPr>
        <w:t>€</w:t>
      </w:r>
    </w:p>
    <w:p w14:paraId="1FF287B8" w14:textId="449774CE" w:rsidR="000C1859" w:rsidRPr="002D1870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Subvencione dhe T</w:t>
      </w:r>
      <w:r w:rsidRPr="002D1870">
        <w:rPr>
          <w:rFonts w:ascii="Calibri" w:hAnsi="Calibri" w:cs="Arial"/>
          <w:sz w:val="24"/>
          <w:lang w:val="sq-AL"/>
        </w:rPr>
        <w:t>rasnfere ................................................</w:t>
      </w:r>
      <w:r w:rsidR="00956573">
        <w:rPr>
          <w:rFonts w:ascii="Calibri" w:hAnsi="Calibri" w:cs="Arial"/>
          <w:sz w:val="24"/>
          <w:lang w:val="sq-AL"/>
        </w:rPr>
        <w:t>..</w:t>
      </w:r>
      <w:r w:rsidRPr="002D1870">
        <w:rPr>
          <w:rFonts w:ascii="Calibri" w:hAnsi="Calibri" w:cs="Arial"/>
          <w:sz w:val="24"/>
          <w:lang w:val="sq-AL"/>
        </w:rPr>
        <w:t>.</w:t>
      </w:r>
      <w:r w:rsidR="00956573">
        <w:rPr>
          <w:rFonts w:ascii="Calibri" w:hAnsi="Calibri" w:cs="Arial"/>
          <w:sz w:val="24"/>
          <w:lang w:val="sq-AL"/>
        </w:rPr>
        <w:t>.</w:t>
      </w:r>
      <w:r w:rsidRPr="002D1870">
        <w:rPr>
          <w:rFonts w:ascii="Calibri" w:hAnsi="Calibri" w:cs="Arial"/>
          <w:sz w:val="24"/>
          <w:lang w:val="sq-AL"/>
        </w:rPr>
        <w:t>...</w:t>
      </w:r>
      <w:r w:rsidR="00D80635">
        <w:rPr>
          <w:rFonts w:ascii="Calibri" w:hAnsi="Calibri" w:cs="Arial"/>
          <w:sz w:val="24"/>
          <w:lang w:val="sq-AL"/>
        </w:rPr>
        <w:t>..</w:t>
      </w:r>
      <w:r>
        <w:rPr>
          <w:rFonts w:ascii="Calibri" w:hAnsi="Calibri" w:cs="Arial"/>
          <w:sz w:val="24"/>
          <w:lang w:val="sq-AL"/>
        </w:rPr>
        <w:t>.</w:t>
      </w:r>
      <w:r w:rsidR="007701D6">
        <w:rPr>
          <w:rFonts w:ascii="Calibri" w:hAnsi="Calibri" w:cs="Arial"/>
          <w:sz w:val="24"/>
          <w:lang w:val="sq-AL"/>
        </w:rPr>
        <w:t>.</w:t>
      </w:r>
      <w:r w:rsidR="004E5BC4" w:rsidRPr="004E5BC4">
        <w:t xml:space="preserve"> </w:t>
      </w:r>
      <w:r w:rsidR="004E5BC4" w:rsidRPr="004E5BC4">
        <w:rPr>
          <w:rFonts w:ascii="Calibri" w:hAnsi="Calibri" w:cs="Arial"/>
          <w:sz w:val="24"/>
          <w:lang w:val="sq-AL"/>
        </w:rPr>
        <w:t>890,000.00</w:t>
      </w:r>
      <w:r w:rsidRPr="002D1870">
        <w:rPr>
          <w:rFonts w:ascii="Calibri" w:hAnsi="Calibri" w:cs="Arial"/>
          <w:sz w:val="24"/>
          <w:lang w:val="sq-AL"/>
        </w:rPr>
        <w:t>€</w:t>
      </w:r>
    </w:p>
    <w:p w14:paraId="364D5E82" w14:textId="7FF4E416" w:rsidR="000C1859" w:rsidRDefault="000C1859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Investime K</w:t>
      </w:r>
      <w:r w:rsidRPr="002D1870">
        <w:rPr>
          <w:rFonts w:ascii="Calibri" w:hAnsi="Calibri" w:cs="Arial"/>
          <w:sz w:val="24"/>
          <w:lang w:val="sq-AL"/>
        </w:rPr>
        <w:t>apitale...............................</w:t>
      </w:r>
      <w:r w:rsidR="00D80635">
        <w:rPr>
          <w:rFonts w:ascii="Calibri" w:hAnsi="Calibri" w:cs="Arial"/>
          <w:sz w:val="24"/>
          <w:lang w:val="sq-AL"/>
        </w:rPr>
        <w:t>...............................</w:t>
      </w:r>
      <w:r w:rsidR="00956573">
        <w:rPr>
          <w:rFonts w:ascii="Calibri" w:hAnsi="Calibri" w:cs="Arial"/>
          <w:sz w:val="24"/>
          <w:lang w:val="sq-AL"/>
        </w:rPr>
        <w:t>.</w:t>
      </w:r>
      <w:r w:rsidRPr="002D1870">
        <w:rPr>
          <w:rFonts w:ascii="Calibri" w:hAnsi="Calibri" w:cs="Arial"/>
          <w:sz w:val="24"/>
          <w:lang w:val="sq-AL"/>
        </w:rPr>
        <w:t>.</w:t>
      </w:r>
      <w:r w:rsidR="00956573">
        <w:rPr>
          <w:rFonts w:ascii="Calibri" w:hAnsi="Calibri" w:cs="Arial"/>
          <w:sz w:val="24"/>
          <w:lang w:val="sq-AL"/>
        </w:rPr>
        <w:t>..</w:t>
      </w:r>
      <w:r>
        <w:rPr>
          <w:rFonts w:ascii="Calibri" w:hAnsi="Calibri" w:cs="Arial"/>
          <w:sz w:val="24"/>
          <w:lang w:val="sq-AL"/>
        </w:rPr>
        <w:t>....</w:t>
      </w:r>
      <w:r w:rsidR="007C314E">
        <w:rPr>
          <w:rFonts w:ascii="Calibri" w:hAnsi="Calibri" w:cs="Arial"/>
          <w:sz w:val="24"/>
          <w:lang w:val="sq-AL"/>
        </w:rPr>
        <w:t>.</w:t>
      </w:r>
      <w:r w:rsidR="004E5BC4" w:rsidRPr="004E5BC4">
        <w:t xml:space="preserve"> </w:t>
      </w:r>
      <w:r w:rsidR="004E5BC4" w:rsidRPr="004E5BC4">
        <w:rPr>
          <w:rFonts w:ascii="Calibri" w:hAnsi="Calibri" w:cs="Arial"/>
          <w:sz w:val="24"/>
          <w:lang w:val="sq-AL"/>
        </w:rPr>
        <w:t>5,651,132.00</w:t>
      </w:r>
      <w:r w:rsidRPr="002D1870">
        <w:rPr>
          <w:rFonts w:ascii="Calibri" w:hAnsi="Calibri" w:cs="Arial"/>
          <w:sz w:val="24"/>
          <w:lang w:val="sq-AL"/>
        </w:rPr>
        <w:t>€</w:t>
      </w:r>
    </w:p>
    <w:p w14:paraId="512F71B3" w14:textId="43C80A93" w:rsidR="004243CB" w:rsidRDefault="004243CB" w:rsidP="00A70D9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Rezervat........................................................</w:t>
      </w:r>
      <w:r w:rsidR="00BA2CAC">
        <w:rPr>
          <w:rFonts w:ascii="Calibri" w:hAnsi="Calibri" w:cs="Arial"/>
          <w:sz w:val="24"/>
          <w:lang w:val="sq-AL"/>
        </w:rPr>
        <w:t>.......................</w:t>
      </w:r>
      <w:r w:rsidR="00956573">
        <w:rPr>
          <w:rFonts w:ascii="Calibri" w:hAnsi="Calibri" w:cs="Arial"/>
          <w:sz w:val="24"/>
          <w:lang w:val="sq-AL"/>
        </w:rPr>
        <w:t>....</w:t>
      </w:r>
      <w:r w:rsidR="00BA2CAC">
        <w:rPr>
          <w:rFonts w:ascii="Calibri" w:hAnsi="Calibri" w:cs="Arial"/>
          <w:sz w:val="24"/>
          <w:lang w:val="sq-AL"/>
        </w:rPr>
        <w:t>.......00</w:t>
      </w:r>
      <w:r>
        <w:rPr>
          <w:rFonts w:ascii="Calibri" w:hAnsi="Calibri" w:cs="Arial"/>
          <w:sz w:val="24"/>
          <w:lang w:val="sq-AL"/>
        </w:rPr>
        <w:t>0.000.00</w:t>
      </w:r>
      <w:r w:rsidRPr="002D1870">
        <w:rPr>
          <w:rFonts w:ascii="Calibri" w:hAnsi="Calibri" w:cs="Arial"/>
          <w:sz w:val="24"/>
          <w:lang w:val="sq-AL"/>
        </w:rPr>
        <w:t xml:space="preserve"> €</w:t>
      </w:r>
    </w:p>
    <w:p w14:paraId="704505E3" w14:textId="77777777" w:rsidR="000C1859" w:rsidRDefault="000C1859" w:rsidP="000C1859">
      <w:pPr>
        <w:pStyle w:val="Heading1"/>
        <w:rPr>
          <w:lang w:val="sq-AL"/>
        </w:rPr>
      </w:pPr>
      <w:bookmarkStart w:id="6" w:name="_Toc43215591"/>
      <w:r>
        <w:rPr>
          <w:lang w:val="sq-AL"/>
        </w:rPr>
        <w:t>3</w:t>
      </w:r>
      <w:r w:rsidRPr="00834ABE">
        <w:rPr>
          <w:lang w:val="sq-AL"/>
        </w:rPr>
        <w:t xml:space="preserve">. </w:t>
      </w:r>
      <w:r>
        <w:rPr>
          <w:lang w:val="sq-AL"/>
        </w:rPr>
        <w:t>PUNËT E REALIZUARA JANAR-</w:t>
      </w:r>
      <w:bookmarkEnd w:id="6"/>
      <w:r w:rsidR="007D6A90">
        <w:rPr>
          <w:lang w:val="sq-AL"/>
        </w:rPr>
        <w:t>DHJETOR</w:t>
      </w:r>
    </w:p>
    <w:p w14:paraId="22FFC197" w14:textId="77777777" w:rsidR="000C1859" w:rsidRDefault="000C1859" w:rsidP="000C1859">
      <w:pPr>
        <w:jc w:val="both"/>
        <w:rPr>
          <w:rFonts w:ascii="Calibri" w:hAnsi="Calibri" w:cs="Arial"/>
          <w:sz w:val="24"/>
          <w:lang w:val="sq-AL"/>
        </w:rPr>
      </w:pPr>
    </w:p>
    <w:p w14:paraId="48B27587" w14:textId="77777777" w:rsidR="000C1859" w:rsidRPr="00D840C9" w:rsidRDefault="000C1859" w:rsidP="000C185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sz w:val="24"/>
          <w:lang w:val="sq-AL"/>
        </w:rPr>
      </w:pPr>
      <w:r w:rsidRPr="00D840C9">
        <w:rPr>
          <w:rFonts w:ascii="Calibri" w:hAnsi="Calibri" w:cs="Arial"/>
          <w:b/>
          <w:sz w:val="24"/>
          <w:lang w:val="sq-AL"/>
        </w:rPr>
        <w:t xml:space="preserve">Gjatë kësaj periudhe  </w:t>
      </w:r>
      <w:r w:rsidR="00AC33EC">
        <w:rPr>
          <w:rFonts w:ascii="Calibri" w:hAnsi="Calibri" w:cs="Arial"/>
          <w:b/>
          <w:sz w:val="24"/>
          <w:lang w:val="sq-AL"/>
        </w:rPr>
        <w:t>janë</w:t>
      </w:r>
      <w:r w:rsidRPr="00D840C9">
        <w:rPr>
          <w:rFonts w:ascii="Calibri" w:hAnsi="Calibri" w:cs="Arial"/>
          <w:b/>
          <w:sz w:val="24"/>
          <w:lang w:val="sq-AL"/>
        </w:rPr>
        <w:t xml:space="preserve"> realizuar këto detyra:</w:t>
      </w:r>
    </w:p>
    <w:p w14:paraId="01539450" w14:textId="77777777" w:rsidR="000C1859" w:rsidRPr="002D1870" w:rsidRDefault="000C1859" w:rsidP="000C1859">
      <w:pPr>
        <w:spacing w:line="360" w:lineRule="auto"/>
        <w:jc w:val="both"/>
        <w:rPr>
          <w:rFonts w:ascii="Calibri" w:hAnsi="Calibri" w:cs="Arial"/>
          <w:sz w:val="24"/>
          <w:lang w:val="sq-AL"/>
        </w:rPr>
      </w:pPr>
    </w:p>
    <w:p w14:paraId="7E6D737C" w14:textId="77777777" w:rsidR="000C1859" w:rsidRDefault="000C1859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>Zotime, pranime, shpenzime për Mall</w:t>
      </w:r>
      <w:r w:rsidR="001C407E">
        <w:rPr>
          <w:rFonts w:ascii="Calibri" w:hAnsi="Calibri" w:cs="Arial"/>
          <w:sz w:val="24"/>
          <w:lang w:val="sq-AL"/>
        </w:rPr>
        <w:t>ë</w:t>
      </w:r>
      <w:r w:rsidRPr="00A70D99">
        <w:rPr>
          <w:rFonts w:ascii="Calibri" w:hAnsi="Calibri" w:cs="Arial"/>
          <w:sz w:val="24"/>
          <w:lang w:val="sq-AL"/>
        </w:rPr>
        <w:t>ra dhe Shërbime,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Pr="00A70D99">
        <w:rPr>
          <w:rFonts w:ascii="Calibri" w:hAnsi="Calibri" w:cs="Arial"/>
          <w:sz w:val="24"/>
          <w:lang w:val="sq-AL"/>
        </w:rPr>
        <w:t>shërbime komunale</w:t>
      </w:r>
      <w:r w:rsidR="00A60CC8">
        <w:rPr>
          <w:rFonts w:ascii="Calibri" w:hAnsi="Calibri" w:cs="Arial"/>
          <w:sz w:val="24"/>
          <w:lang w:val="sq-AL"/>
        </w:rPr>
        <w:t>,</w:t>
      </w:r>
      <w:r w:rsidRPr="00A70D99">
        <w:rPr>
          <w:rFonts w:ascii="Calibri" w:hAnsi="Calibri" w:cs="Arial"/>
          <w:sz w:val="24"/>
          <w:lang w:val="sq-AL"/>
        </w:rPr>
        <w:t xml:space="preserve"> subvencione dhe transfere, dhe investime kapi</w:t>
      </w:r>
      <w:r w:rsidR="00B3458A">
        <w:rPr>
          <w:rFonts w:ascii="Calibri" w:hAnsi="Calibri" w:cs="Arial"/>
          <w:sz w:val="24"/>
          <w:lang w:val="sq-AL"/>
        </w:rPr>
        <w:t>tale</w:t>
      </w:r>
      <w:r w:rsidRPr="00A70D99">
        <w:rPr>
          <w:rFonts w:ascii="Calibri" w:hAnsi="Calibri" w:cs="Arial"/>
          <w:sz w:val="24"/>
          <w:lang w:val="sq-AL"/>
        </w:rPr>
        <w:t>.</w:t>
      </w:r>
    </w:p>
    <w:p w14:paraId="47F4659E" w14:textId="468258EA" w:rsidR="006E1F28" w:rsidRDefault="006E1F28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Përgaditja dhe dorëzimi i pasyrave financiare për vitin 202</w:t>
      </w:r>
      <w:r w:rsidR="00B10260">
        <w:rPr>
          <w:rFonts w:ascii="Calibri" w:hAnsi="Calibri" w:cs="Arial"/>
          <w:sz w:val="24"/>
          <w:lang w:val="sq-AL"/>
        </w:rPr>
        <w:t>3</w:t>
      </w:r>
      <w:r>
        <w:rPr>
          <w:rFonts w:ascii="Calibri" w:hAnsi="Calibri" w:cs="Arial"/>
          <w:sz w:val="24"/>
          <w:lang w:val="sq-AL"/>
        </w:rPr>
        <w:t>, në Ministrin e punës dhe transfereve</w:t>
      </w:r>
    </w:p>
    <w:p w14:paraId="05EB304D" w14:textId="35A2A5FC" w:rsidR="00793436" w:rsidRDefault="00793436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Bartja e të hyrave vetanake nga viti 202</w:t>
      </w:r>
      <w:r w:rsidR="00B10260">
        <w:rPr>
          <w:rFonts w:ascii="Calibri" w:hAnsi="Calibri" w:cs="Arial"/>
          <w:sz w:val="24"/>
          <w:lang w:val="sq-AL"/>
        </w:rPr>
        <w:t>3</w:t>
      </w:r>
      <w:r>
        <w:rPr>
          <w:rFonts w:ascii="Calibri" w:hAnsi="Calibri" w:cs="Arial"/>
          <w:sz w:val="24"/>
          <w:lang w:val="sq-AL"/>
        </w:rPr>
        <w:t xml:space="preserve"> në vitin 202</w:t>
      </w:r>
      <w:r w:rsidR="00B10260">
        <w:rPr>
          <w:rFonts w:ascii="Calibri" w:hAnsi="Calibri" w:cs="Arial"/>
          <w:sz w:val="24"/>
          <w:lang w:val="sq-AL"/>
        </w:rPr>
        <w:t>4.</w:t>
      </w:r>
    </w:p>
    <w:p w14:paraId="2AA89B8B" w14:textId="77777777" w:rsidR="00793436" w:rsidRDefault="00793436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Shpërndarja e faturave të tatimit në pronë.</w:t>
      </w:r>
    </w:p>
    <w:p w14:paraId="2163E55C" w14:textId="4712AE86" w:rsidR="00793436" w:rsidRPr="00A70D99" w:rsidRDefault="00793436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Shpërndarja e v</w:t>
      </w:r>
      <w:r w:rsidR="00B10260">
        <w:rPr>
          <w:rFonts w:ascii="Calibri" w:hAnsi="Calibri" w:cs="Arial"/>
          <w:sz w:val="24"/>
          <w:lang w:val="sq-AL"/>
        </w:rPr>
        <w:t>ë</w:t>
      </w:r>
      <w:r>
        <w:rPr>
          <w:rFonts w:ascii="Calibri" w:hAnsi="Calibri" w:cs="Arial"/>
          <w:sz w:val="24"/>
          <w:lang w:val="sq-AL"/>
        </w:rPr>
        <w:t>rejtjeve të tatimit në pronë.</w:t>
      </w:r>
    </w:p>
    <w:p w14:paraId="1062C74D" w14:textId="4D1A610B" w:rsidR="000C1859" w:rsidRPr="00A70D99" w:rsidRDefault="000C1859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 xml:space="preserve">Përgatitja e raportit </w:t>
      </w:r>
      <w:r w:rsidR="00CB2EC1">
        <w:rPr>
          <w:rFonts w:ascii="Calibri" w:hAnsi="Calibri" w:cs="Arial"/>
          <w:sz w:val="24"/>
          <w:lang w:val="sq-AL"/>
        </w:rPr>
        <w:t>financiar në baza tremujor</w:t>
      </w:r>
      <w:r w:rsidR="00B10260">
        <w:rPr>
          <w:rFonts w:ascii="Calibri" w:hAnsi="Calibri" w:cs="Arial"/>
          <w:sz w:val="24"/>
          <w:lang w:val="sq-AL"/>
        </w:rPr>
        <w:t>e</w:t>
      </w:r>
      <w:r w:rsidR="00CB2EC1">
        <w:rPr>
          <w:rFonts w:ascii="Calibri" w:hAnsi="Calibri" w:cs="Arial"/>
          <w:sz w:val="24"/>
          <w:lang w:val="sq-AL"/>
        </w:rPr>
        <w:t xml:space="preserve"> 202</w:t>
      </w:r>
      <w:r w:rsidR="00B10260">
        <w:rPr>
          <w:rFonts w:ascii="Calibri" w:hAnsi="Calibri" w:cs="Arial"/>
          <w:sz w:val="24"/>
          <w:lang w:val="sq-AL"/>
        </w:rPr>
        <w:t>4</w:t>
      </w:r>
      <w:r w:rsidRPr="00A70D99">
        <w:rPr>
          <w:rFonts w:ascii="Calibri" w:hAnsi="Calibri" w:cs="Arial"/>
          <w:sz w:val="24"/>
          <w:lang w:val="sq-AL"/>
        </w:rPr>
        <w:t xml:space="preserve"> për Kuvendin Komunal dhe Kryetarin e Komunës.</w:t>
      </w:r>
    </w:p>
    <w:p w14:paraId="38849663" w14:textId="77777777" w:rsidR="000C1859" w:rsidRPr="00A70D99" w:rsidRDefault="000C1859" w:rsidP="00A60C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>Raportimi i obligimeve financiare</w:t>
      </w:r>
      <w:r w:rsidR="001C1611">
        <w:rPr>
          <w:rFonts w:ascii="Calibri" w:hAnsi="Calibri" w:cs="Arial"/>
          <w:sz w:val="24"/>
          <w:lang w:val="sq-AL"/>
        </w:rPr>
        <w:t>,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="001C1611">
        <w:rPr>
          <w:rFonts w:ascii="Calibri" w:hAnsi="Calibri" w:cs="Arial"/>
          <w:sz w:val="24"/>
          <w:lang w:val="sq-AL"/>
        </w:rPr>
        <w:t>dhe ko</w:t>
      </w:r>
      <w:r w:rsidR="00A60CC8">
        <w:rPr>
          <w:rFonts w:ascii="Calibri" w:hAnsi="Calibri" w:cs="Arial"/>
          <w:sz w:val="24"/>
          <w:lang w:val="sq-AL"/>
        </w:rPr>
        <w:t>n</w:t>
      </w:r>
      <w:r w:rsidR="001C1611">
        <w:rPr>
          <w:rFonts w:ascii="Calibri" w:hAnsi="Calibri" w:cs="Arial"/>
          <w:sz w:val="24"/>
          <w:lang w:val="sq-AL"/>
        </w:rPr>
        <w:t>traktuale</w:t>
      </w:r>
      <w:r w:rsidRPr="00A70D99">
        <w:rPr>
          <w:rFonts w:ascii="Calibri" w:hAnsi="Calibri" w:cs="Arial"/>
          <w:sz w:val="24"/>
          <w:lang w:val="sq-AL"/>
        </w:rPr>
        <w:t xml:space="preserve"> në baza mujore në Ministrin e Financave.</w:t>
      </w:r>
    </w:p>
    <w:p w14:paraId="518A1D65" w14:textId="77777777" w:rsidR="000C1859" w:rsidRPr="00793436" w:rsidRDefault="000C1859" w:rsidP="0079343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r w:rsidRPr="00A70D99">
        <w:rPr>
          <w:rFonts w:ascii="Calibri" w:hAnsi="Calibri" w:cs="Arial"/>
          <w:sz w:val="24"/>
          <w:lang w:val="sq-AL"/>
        </w:rPr>
        <w:t>Përgatitja e raporteve mujore dhe tremujore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Pr="00A70D99">
        <w:rPr>
          <w:rFonts w:ascii="Calibri" w:hAnsi="Calibri" w:cs="Arial"/>
          <w:sz w:val="24"/>
          <w:lang w:val="sq-AL"/>
        </w:rPr>
        <w:t xml:space="preserve">(shpenzimet dhe të hyrat) për publikim në Web faqen </w:t>
      </w:r>
      <w:r w:rsidR="00793436">
        <w:rPr>
          <w:rFonts w:ascii="Calibri" w:hAnsi="Calibri" w:cs="Arial"/>
          <w:sz w:val="24"/>
          <w:lang w:val="sq-AL"/>
        </w:rPr>
        <w:t>e Komunës</w:t>
      </w:r>
    </w:p>
    <w:p w14:paraId="3A9685D5" w14:textId="7CBA601B" w:rsidR="000C1859" w:rsidRDefault="000C1859" w:rsidP="000C1859">
      <w:pPr>
        <w:pStyle w:val="Heading1"/>
        <w:rPr>
          <w:lang w:val="sq-AL"/>
        </w:rPr>
      </w:pPr>
      <w:bookmarkStart w:id="7" w:name="_Toc43215592"/>
      <w:r>
        <w:rPr>
          <w:lang w:val="sq-AL"/>
        </w:rPr>
        <w:lastRenderedPageBreak/>
        <w:t>4</w:t>
      </w:r>
      <w:r w:rsidRPr="00834ABE">
        <w:rPr>
          <w:lang w:val="sq-AL"/>
        </w:rPr>
        <w:t xml:space="preserve">. </w:t>
      </w:r>
      <w:r w:rsidR="007D6A90">
        <w:rPr>
          <w:lang w:val="sq-AL"/>
        </w:rPr>
        <w:t>JANAR-</w:t>
      </w:r>
      <w:r w:rsidR="00AC6066">
        <w:rPr>
          <w:lang w:val="sq-AL"/>
        </w:rPr>
        <w:t xml:space="preserve"> </w:t>
      </w:r>
      <w:r w:rsidR="007D6A90">
        <w:rPr>
          <w:lang w:val="sq-AL"/>
        </w:rPr>
        <w:t>DHJETOR</w:t>
      </w:r>
      <w:r>
        <w:rPr>
          <w:lang w:val="sq-AL"/>
        </w:rPr>
        <w:t xml:space="preserve"> BUXHET,</w:t>
      </w:r>
      <w:r w:rsidR="00956573">
        <w:rPr>
          <w:lang w:val="sq-AL"/>
        </w:rPr>
        <w:t xml:space="preserve"> </w:t>
      </w:r>
      <w:r>
        <w:rPr>
          <w:lang w:val="sq-AL"/>
        </w:rPr>
        <w:t>ALOKIM,</w:t>
      </w:r>
      <w:r w:rsidR="00956573">
        <w:rPr>
          <w:lang w:val="sq-AL"/>
        </w:rPr>
        <w:t xml:space="preserve"> </w:t>
      </w:r>
      <w:r>
        <w:rPr>
          <w:lang w:val="sq-AL"/>
        </w:rPr>
        <w:t>SHPENZIM</w:t>
      </w:r>
      <w:bookmarkEnd w:id="7"/>
      <w:r>
        <w:rPr>
          <w:lang w:val="sq-AL"/>
        </w:rPr>
        <w:t xml:space="preserve"> </w:t>
      </w:r>
    </w:p>
    <w:p w14:paraId="3B990390" w14:textId="77777777" w:rsidR="000C1859" w:rsidRPr="000147E0" w:rsidRDefault="000C1859" w:rsidP="000C1859">
      <w:pPr>
        <w:rPr>
          <w:lang w:val="sq-AL"/>
        </w:rPr>
      </w:pPr>
    </w:p>
    <w:tbl>
      <w:tblPr>
        <w:tblW w:w="10193" w:type="dxa"/>
        <w:tblInd w:w="-280" w:type="dxa"/>
        <w:tblLook w:val="04A0" w:firstRow="1" w:lastRow="0" w:firstColumn="1" w:lastColumn="0" w:noHBand="0" w:noVBand="1"/>
      </w:tblPr>
      <w:tblGrid>
        <w:gridCol w:w="1279"/>
        <w:gridCol w:w="778"/>
        <w:gridCol w:w="1270"/>
        <w:gridCol w:w="1271"/>
        <w:gridCol w:w="1271"/>
        <w:gridCol w:w="1270"/>
        <w:gridCol w:w="1495"/>
        <w:gridCol w:w="1559"/>
      </w:tblGrid>
      <w:tr w:rsidR="00F01BD7" w:rsidRPr="00381058" w14:paraId="36D2FD47" w14:textId="77777777" w:rsidTr="0057595E">
        <w:trPr>
          <w:trHeight w:val="740"/>
        </w:trPr>
        <w:tc>
          <w:tcPr>
            <w:tcW w:w="127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2A7437" w14:textId="77777777" w:rsidR="00F01BD7" w:rsidRPr="00381058" w:rsidRDefault="00F01BD7" w:rsidP="00381058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>Përshkrimi</w:t>
            </w:r>
          </w:p>
        </w:tc>
        <w:tc>
          <w:tcPr>
            <w:tcW w:w="77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B95812" w14:textId="77777777" w:rsidR="00F01BD7" w:rsidRPr="00381058" w:rsidRDefault="00F01BD7" w:rsidP="00381058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>Lëndët e kryera</w:t>
            </w:r>
          </w:p>
        </w:tc>
        <w:tc>
          <w:tcPr>
            <w:tcW w:w="1270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746834" w14:textId="77777777" w:rsidR="00F01BD7" w:rsidRPr="00381058" w:rsidRDefault="00F01BD7" w:rsidP="00381058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>Buxheti fillestar</w:t>
            </w:r>
          </w:p>
        </w:tc>
        <w:tc>
          <w:tcPr>
            <w:tcW w:w="1271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E7F8A" w14:textId="77777777" w:rsidR="00F01BD7" w:rsidRPr="00381058" w:rsidRDefault="00F01BD7" w:rsidP="00381058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>Buxheti final</w:t>
            </w:r>
          </w:p>
        </w:tc>
        <w:tc>
          <w:tcPr>
            <w:tcW w:w="1271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FF9325" w14:textId="77777777" w:rsidR="00F01BD7" w:rsidRPr="00381058" w:rsidRDefault="00F01BD7" w:rsidP="00381058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>Alokimet</w:t>
            </w:r>
          </w:p>
        </w:tc>
        <w:tc>
          <w:tcPr>
            <w:tcW w:w="1270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BCCD41" w14:textId="77777777" w:rsidR="00F01BD7" w:rsidRPr="00381058" w:rsidRDefault="00F01BD7" w:rsidP="00381058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 xml:space="preserve">Shpenzimet </w:t>
            </w:r>
          </w:p>
        </w:tc>
        <w:tc>
          <w:tcPr>
            <w:tcW w:w="149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2D79FB" w14:textId="2A8B13FA" w:rsidR="00F01BD7" w:rsidRPr="00381058" w:rsidRDefault="00F01BD7" w:rsidP="00381058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>Shpenzim</w:t>
            </w:r>
            <w: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>/</w:t>
            </w:r>
            <w:r w:rsidRPr="00381058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 xml:space="preserve">           Buxheti final         %  </w:t>
            </w:r>
          </w:p>
        </w:tc>
        <w:tc>
          <w:tcPr>
            <w:tcW w:w="1559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FFFFFF"/>
            <w:vAlign w:val="center"/>
            <w:hideMark/>
          </w:tcPr>
          <w:p w14:paraId="62AD8BA4" w14:textId="317129FA" w:rsidR="00F01BD7" w:rsidRPr="00381058" w:rsidRDefault="00F01BD7" w:rsidP="00381058">
            <w:pPr>
              <w:jc w:val="center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>Shpenzim</w:t>
            </w:r>
            <w: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>/</w:t>
            </w:r>
            <w:r w:rsidRPr="00381058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 xml:space="preserve">                 Alokim                  %</w:t>
            </w:r>
          </w:p>
        </w:tc>
      </w:tr>
      <w:tr w:rsidR="00F01BD7" w:rsidRPr="00381058" w14:paraId="2C2E4A22" w14:textId="77777777" w:rsidTr="0057595E">
        <w:trPr>
          <w:trHeight w:val="398"/>
        </w:trPr>
        <w:tc>
          <w:tcPr>
            <w:tcW w:w="1279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4B5972" w14:textId="77777777" w:rsidR="00F01BD7" w:rsidRPr="00381058" w:rsidRDefault="00F01BD7" w:rsidP="00524A5C">
            <w:pPr>
              <w:rPr>
                <w:rFonts w:ascii="Calibri" w:hAnsi="Calibri" w:cs="Calibri"/>
                <w:b/>
                <w:bCs/>
                <w:color w:val="1F4E79"/>
                <w:sz w:val="20"/>
                <w:szCs w:val="20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20"/>
                <w:szCs w:val="20"/>
                <w:lang w:val="sr-Latn-RS"/>
              </w:rPr>
              <w:t>Paga dhe Mëdi</w:t>
            </w:r>
            <w:r>
              <w:rPr>
                <w:rFonts w:ascii="Calibri" w:hAnsi="Calibri" w:cs="Calibri"/>
                <w:b/>
                <w:bCs/>
                <w:color w:val="1F4E79"/>
                <w:sz w:val="20"/>
                <w:szCs w:val="20"/>
                <w:lang w:val="sr-Latn-RS"/>
              </w:rPr>
              <w:t>t</w:t>
            </w:r>
            <w:r w:rsidRPr="00381058">
              <w:rPr>
                <w:rFonts w:ascii="Calibri" w:hAnsi="Calibri" w:cs="Calibri"/>
                <w:b/>
                <w:bCs/>
                <w:color w:val="1F4E79"/>
                <w:sz w:val="20"/>
                <w:szCs w:val="20"/>
                <w:lang w:val="sr-Latn-RS"/>
              </w:rPr>
              <w:t xml:space="preserve">je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B33D4A" w14:textId="77777777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381058">
              <w:rPr>
                <w:rFonts w:ascii="Calibri" w:hAnsi="Calibri" w:cs="Calibri"/>
                <w:color w:val="1F4E79"/>
                <w:sz w:val="18"/>
                <w:szCs w:val="18"/>
                <w:lang w:val="sr-Latn-RS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7742EF4F" w14:textId="1E6682C4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862422">
              <w:rPr>
                <w:rFonts w:ascii="Calibri" w:hAnsi="Calibri" w:cs="Calibri"/>
                <w:color w:val="1F4E79"/>
                <w:sz w:val="18"/>
                <w:szCs w:val="18"/>
              </w:rPr>
              <w:t>10,407,313.56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16D0C885" w14:textId="77777777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  <w:lang w:val="sq-AL"/>
              </w:rPr>
              <w:t>10,407,313.56</w:t>
            </w:r>
          </w:p>
          <w:p w14:paraId="5DE3A914" w14:textId="22CC0B82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01DA418E" w14:textId="0E627784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C34D2E">
              <w:rPr>
                <w:rFonts w:ascii="Calibri" w:hAnsi="Calibri" w:cs="Calibri"/>
                <w:color w:val="1F4E79"/>
                <w:sz w:val="18"/>
                <w:szCs w:val="18"/>
              </w:rPr>
              <w:t>10,134,904.19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3195B30A" w14:textId="77777777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10,013,146.14</w:t>
            </w:r>
          </w:p>
          <w:p w14:paraId="2D119D88" w14:textId="6C0FEFEF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6BED0A75" w14:textId="6E42C1DD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96.21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FFFFFF"/>
            <w:vAlign w:val="center"/>
          </w:tcPr>
          <w:p w14:paraId="7FB70B02" w14:textId="03767D0B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98.80</w:t>
            </w:r>
          </w:p>
        </w:tc>
      </w:tr>
      <w:tr w:rsidR="00F01BD7" w:rsidRPr="00381058" w14:paraId="7F3C7914" w14:textId="77777777" w:rsidTr="0057595E">
        <w:trPr>
          <w:trHeight w:val="465"/>
        </w:trPr>
        <w:tc>
          <w:tcPr>
            <w:tcW w:w="1279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DEBE51" w14:textId="77777777" w:rsidR="00F01BD7" w:rsidRPr="00381058" w:rsidRDefault="00F01BD7" w:rsidP="00524A5C">
            <w:pPr>
              <w:rPr>
                <w:rFonts w:ascii="Calibri" w:hAnsi="Calibri" w:cs="Calibri"/>
                <w:b/>
                <w:bCs/>
                <w:color w:val="1F4E79"/>
                <w:sz w:val="20"/>
                <w:szCs w:val="20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20"/>
                <w:szCs w:val="20"/>
                <w:lang w:val="sr-Latn-RS"/>
              </w:rPr>
              <w:t>Mall</w:t>
            </w:r>
            <w:r>
              <w:rPr>
                <w:rFonts w:ascii="Calibri" w:hAnsi="Calibri" w:cs="Calibri"/>
                <w:b/>
                <w:bCs/>
                <w:color w:val="1F4E79"/>
                <w:sz w:val="20"/>
                <w:szCs w:val="20"/>
                <w:lang w:val="sr-Latn-RS"/>
              </w:rPr>
              <w:t>ë</w:t>
            </w:r>
            <w:r w:rsidRPr="00381058">
              <w:rPr>
                <w:rFonts w:ascii="Calibri" w:hAnsi="Calibri" w:cs="Calibri"/>
                <w:b/>
                <w:bCs/>
                <w:color w:val="1F4E79"/>
                <w:sz w:val="20"/>
                <w:szCs w:val="20"/>
                <w:lang w:val="sr-Latn-RS"/>
              </w:rPr>
              <w:t xml:space="preserve">ra dhe Shërbime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37D33D" w14:textId="60580977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  <w:lang w:val="sr-Latn-RS"/>
              </w:rPr>
              <w:t>2046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3AAF8C46" w14:textId="6E945308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862422">
              <w:rPr>
                <w:rFonts w:ascii="Calibri" w:hAnsi="Calibri" w:cs="Calibri"/>
                <w:color w:val="1F4E79"/>
                <w:sz w:val="18"/>
                <w:szCs w:val="18"/>
              </w:rPr>
              <w:t>2,466,340.00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37839F59" w14:textId="77777777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2,546,449.74</w:t>
            </w:r>
          </w:p>
          <w:p w14:paraId="7BA52D59" w14:textId="40BF966E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0AC999F5" w14:textId="274546EE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C34D2E">
              <w:rPr>
                <w:rFonts w:ascii="Calibri" w:hAnsi="Calibri" w:cs="Calibri"/>
                <w:color w:val="1F4E79"/>
                <w:sz w:val="18"/>
                <w:szCs w:val="18"/>
              </w:rPr>
              <w:t>2,546,449.74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04A7FFB1" w14:textId="77777777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2,354,430.77</w:t>
            </w:r>
          </w:p>
          <w:p w14:paraId="732411C2" w14:textId="75373894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6F97E0EB" w14:textId="44AA1C2B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92.46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FFFFFF"/>
            <w:vAlign w:val="center"/>
          </w:tcPr>
          <w:p w14:paraId="309C8238" w14:textId="6475DD22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92.46</w:t>
            </w:r>
          </w:p>
        </w:tc>
      </w:tr>
      <w:tr w:rsidR="00F01BD7" w:rsidRPr="00381058" w14:paraId="253BD795" w14:textId="77777777" w:rsidTr="0057595E">
        <w:trPr>
          <w:trHeight w:val="450"/>
        </w:trPr>
        <w:tc>
          <w:tcPr>
            <w:tcW w:w="1279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DF332" w14:textId="77777777" w:rsidR="00F01BD7" w:rsidRPr="00381058" w:rsidRDefault="00F01BD7" w:rsidP="00524A5C">
            <w:pPr>
              <w:rPr>
                <w:rFonts w:ascii="Calibri" w:hAnsi="Calibri" w:cs="Calibri"/>
                <w:b/>
                <w:bCs/>
                <w:color w:val="1F4E79"/>
                <w:sz w:val="20"/>
                <w:szCs w:val="20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20"/>
                <w:szCs w:val="20"/>
                <w:lang w:val="sr-Latn-RS"/>
              </w:rPr>
              <w:t xml:space="preserve">Shpenzime Komunale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67939E" w14:textId="277854D6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  <w:lang w:val="sr-Latn-RS"/>
              </w:rPr>
              <w:t>643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7A96CEB0" w14:textId="4DBF6C6E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862422">
              <w:rPr>
                <w:rFonts w:ascii="Calibri" w:hAnsi="Calibri" w:cs="Calibri"/>
                <w:color w:val="1F4E79"/>
                <w:sz w:val="18"/>
                <w:szCs w:val="18"/>
              </w:rPr>
              <w:t>390,000.00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35B7C375" w14:textId="52912A7E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  <w:lang w:val="sq-AL"/>
              </w:rPr>
              <w:t>390,000.00</w:t>
            </w:r>
          </w:p>
          <w:p w14:paraId="06844248" w14:textId="101AC369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1AEF7FE0" w14:textId="1B35454D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C34D2E">
              <w:rPr>
                <w:rFonts w:ascii="Calibri" w:hAnsi="Calibri" w:cs="Calibri"/>
                <w:color w:val="1F4E79"/>
                <w:sz w:val="18"/>
                <w:szCs w:val="18"/>
              </w:rPr>
              <w:t>390,000.00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1D6769AD" w14:textId="77777777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325,384.80</w:t>
            </w:r>
          </w:p>
          <w:p w14:paraId="7109854B" w14:textId="4D0B3D29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0FA19826" w14:textId="1C5B7968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83.43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FFFFFF"/>
            <w:vAlign w:val="center"/>
          </w:tcPr>
          <w:p w14:paraId="4556926A" w14:textId="62729B7C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83.43</w:t>
            </w:r>
          </w:p>
        </w:tc>
      </w:tr>
      <w:tr w:rsidR="00F01BD7" w:rsidRPr="00381058" w14:paraId="71919836" w14:textId="77777777" w:rsidTr="0057595E">
        <w:trPr>
          <w:trHeight w:val="591"/>
        </w:trPr>
        <w:tc>
          <w:tcPr>
            <w:tcW w:w="1279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A3843" w14:textId="77777777" w:rsidR="00F01BD7" w:rsidRPr="00381058" w:rsidRDefault="00F01BD7" w:rsidP="00524A5C">
            <w:pPr>
              <w:rPr>
                <w:rFonts w:ascii="Calibri" w:hAnsi="Calibri" w:cs="Calibri"/>
                <w:b/>
                <w:bCs/>
                <w:color w:val="1F4E79"/>
                <w:sz w:val="20"/>
                <w:szCs w:val="20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20"/>
                <w:szCs w:val="20"/>
                <w:lang w:val="sr-Latn-RS"/>
              </w:rPr>
              <w:t>Subvencione dhe Transfere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DD209A" w14:textId="17E4BFBD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  <w:lang w:val="sr-Latn-RS"/>
              </w:rPr>
              <w:t xml:space="preserve">  238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6138B1F9" w14:textId="58DD3E80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862422">
              <w:rPr>
                <w:rFonts w:ascii="Calibri" w:hAnsi="Calibri" w:cs="Calibri"/>
                <w:color w:val="1F4E79"/>
                <w:sz w:val="18"/>
                <w:szCs w:val="18"/>
              </w:rPr>
              <w:t>890,000.00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000E10F0" w14:textId="77777777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960,562.30</w:t>
            </w:r>
          </w:p>
          <w:p w14:paraId="57108B60" w14:textId="1737D256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30BFCDA0" w14:textId="35C5A637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C34D2E">
              <w:rPr>
                <w:rFonts w:ascii="Calibri" w:hAnsi="Calibri" w:cs="Calibri"/>
                <w:color w:val="1F4E79"/>
                <w:sz w:val="18"/>
                <w:szCs w:val="18"/>
              </w:rPr>
              <w:t>960,562.30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532D7866" w14:textId="77777777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951,979.31</w:t>
            </w:r>
          </w:p>
          <w:p w14:paraId="49402E3E" w14:textId="4BD45A23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74A6BEA2" w14:textId="7DF44C8F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99.11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FFFFFF"/>
            <w:vAlign w:val="center"/>
          </w:tcPr>
          <w:p w14:paraId="3BEC414A" w14:textId="20BD5A7D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99.11</w:t>
            </w:r>
          </w:p>
        </w:tc>
      </w:tr>
      <w:tr w:rsidR="00F01BD7" w:rsidRPr="00381058" w14:paraId="59D995FC" w14:textId="77777777" w:rsidTr="0057595E">
        <w:trPr>
          <w:trHeight w:val="398"/>
        </w:trPr>
        <w:tc>
          <w:tcPr>
            <w:tcW w:w="1279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931C5" w14:textId="77777777" w:rsidR="00F01BD7" w:rsidRPr="00381058" w:rsidRDefault="00F01BD7" w:rsidP="00524A5C">
            <w:pPr>
              <w:rPr>
                <w:rFonts w:ascii="Calibri" w:hAnsi="Calibri" w:cs="Calibri"/>
                <w:b/>
                <w:bCs/>
                <w:color w:val="1F4E79"/>
                <w:sz w:val="20"/>
                <w:szCs w:val="20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20"/>
                <w:szCs w:val="20"/>
                <w:lang w:val="sr-Latn-RS"/>
              </w:rPr>
              <w:t xml:space="preserve">Investime Kapitale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4750F9" w14:textId="238D2CE9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187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0DFA246C" w14:textId="550AEC21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862422">
              <w:rPr>
                <w:rFonts w:ascii="Calibri" w:hAnsi="Calibri" w:cs="Calibri"/>
                <w:color w:val="1F4E79"/>
                <w:sz w:val="18"/>
                <w:szCs w:val="18"/>
              </w:rPr>
              <w:t>5,651,132.00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4FC7FEFC" w14:textId="77777777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6,154,560.52</w:t>
            </w:r>
          </w:p>
          <w:p w14:paraId="5053ED0B" w14:textId="7FABE7C7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3EB9A679" w14:textId="62CFBD10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C34D2E">
              <w:rPr>
                <w:rFonts w:ascii="Calibri" w:hAnsi="Calibri" w:cs="Calibri"/>
                <w:color w:val="1F4E79"/>
                <w:sz w:val="18"/>
                <w:szCs w:val="18"/>
              </w:rPr>
              <w:t>6,154,560.52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37390870" w14:textId="77777777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5,871,170.04</w:t>
            </w:r>
          </w:p>
          <w:p w14:paraId="733443E0" w14:textId="5B19FAC5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67D76CC2" w14:textId="1ADAFD66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95.40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FFFFFF"/>
            <w:vAlign w:val="center"/>
          </w:tcPr>
          <w:p w14:paraId="4E742C70" w14:textId="3311EA2C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95.40</w:t>
            </w:r>
          </w:p>
        </w:tc>
      </w:tr>
      <w:tr w:rsidR="00F01BD7" w:rsidRPr="00381058" w14:paraId="74A9D281" w14:textId="77777777" w:rsidTr="0057595E">
        <w:trPr>
          <w:trHeight w:val="238"/>
        </w:trPr>
        <w:tc>
          <w:tcPr>
            <w:tcW w:w="1279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5BC176" w14:textId="77777777" w:rsidR="00F01BD7" w:rsidRPr="00381058" w:rsidRDefault="00F01BD7" w:rsidP="00524A5C">
            <w:pPr>
              <w:rPr>
                <w:rFonts w:ascii="Calibri" w:hAnsi="Calibri" w:cs="Calibri"/>
                <w:b/>
                <w:bCs/>
                <w:color w:val="1F4E79"/>
                <w:sz w:val="20"/>
                <w:szCs w:val="20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20"/>
                <w:szCs w:val="20"/>
                <w:lang w:val="sr-Latn-RS"/>
              </w:rPr>
              <w:t>Donacione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198855" w14:textId="77777777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381058">
              <w:rPr>
                <w:rFonts w:ascii="Calibri" w:hAnsi="Calibri" w:cs="Calibri"/>
                <w:color w:val="1F4E79"/>
                <w:sz w:val="18"/>
                <w:szCs w:val="18"/>
                <w:lang w:val="sr-Latn-RS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20901520" w14:textId="51BD1B7B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0966B277" w14:textId="77777777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1,009,650.56</w:t>
            </w:r>
          </w:p>
          <w:p w14:paraId="528723D9" w14:textId="52442694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257710A7" w14:textId="0E7E746C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 w:rsidRPr="00C34D2E">
              <w:rPr>
                <w:rFonts w:ascii="Calibri" w:hAnsi="Calibri" w:cs="Calibri"/>
                <w:color w:val="1F4E79"/>
                <w:sz w:val="18"/>
                <w:szCs w:val="18"/>
              </w:rPr>
              <w:t>1,009,650.56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15684A53" w14:textId="77777777" w:rsidR="00F01BD7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 xml:space="preserve">    805,084.89 </w:t>
            </w:r>
          </w:p>
          <w:p w14:paraId="63C6A1D2" w14:textId="2D079195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2A3A0A60" w14:textId="5093B83F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79.74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FFFFFF"/>
            <w:vAlign w:val="center"/>
          </w:tcPr>
          <w:p w14:paraId="0FACD666" w14:textId="153E061E" w:rsidR="00F01BD7" w:rsidRPr="00381058" w:rsidRDefault="00F01BD7" w:rsidP="0057595E">
            <w:pPr>
              <w:jc w:val="right"/>
              <w:rPr>
                <w:rFonts w:ascii="Calibri" w:hAnsi="Calibri" w:cs="Calibri"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color w:val="1F4E79"/>
                <w:sz w:val="18"/>
                <w:szCs w:val="18"/>
              </w:rPr>
              <w:t>79.74</w:t>
            </w:r>
          </w:p>
        </w:tc>
      </w:tr>
      <w:tr w:rsidR="00F01BD7" w:rsidRPr="00381058" w14:paraId="445F3516" w14:textId="77777777" w:rsidTr="0057595E">
        <w:trPr>
          <w:trHeight w:val="238"/>
        </w:trPr>
        <w:tc>
          <w:tcPr>
            <w:tcW w:w="1279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FD9BB2" w14:textId="77777777" w:rsidR="00F01BD7" w:rsidRPr="00381058" w:rsidRDefault="00F01BD7" w:rsidP="00524A5C">
            <w:pPr>
              <w:rPr>
                <w:rFonts w:ascii="Calibri" w:hAnsi="Calibri" w:cs="Calibri"/>
                <w:b/>
                <w:bCs/>
                <w:color w:val="1F4E79"/>
                <w:sz w:val="20"/>
                <w:szCs w:val="20"/>
              </w:rPr>
            </w:pPr>
            <w:r w:rsidRPr="00381058">
              <w:rPr>
                <w:rFonts w:ascii="Calibri" w:hAnsi="Calibri" w:cs="Calibri"/>
                <w:b/>
                <w:bCs/>
                <w:color w:val="1F4E79"/>
                <w:sz w:val="20"/>
                <w:szCs w:val="20"/>
                <w:lang w:val="sr-Latn-RS"/>
              </w:rPr>
              <w:t>Totali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4AC6D1" w14:textId="7E943370" w:rsidR="00F01BD7" w:rsidRPr="00381058" w:rsidRDefault="00F01BD7" w:rsidP="0057595E">
            <w:pPr>
              <w:jc w:val="right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sr-Latn-RS"/>
              </w:rPr>
              <w:t>3114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74BA20E1" w14:textId="651C73AC" w:rsidR="00F01BD7" w:rsidRPr="00F8793E" w:rsidRDefault="00F01BD7" w:rsidP="0057595E">
            <w:pPr>
              <w:jc w:val="right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862422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  <w:t>19,804,785.56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238C5997" w14:textId="01C3E0BC" w:rsidR="00F01BD7" w:rsidRPr="00C34D2E" w:rsidRDefault="00F01BD7" w:rsidP="0057595E">
            <w:pPr>
              <w:jc w:val="right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  <w:t>21,468,536.68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5A55C773" w14:textId="44CD5D17" w:rsidR="00F01BD7" w:rsidRPr="00381058" w:rsidRDefault="00F01BD7" w:rsidP="0057595E">
            <w:pPr>
              <w:jc w:val="right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 w:rsidRPr="00C34D2E"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  <w:t>21,196,127.31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27D17F90" w14:textId="2580080C" w:rsidR="00F01BD7" w:rsidRPr="00C34D2E" w:rsidRDefault="00F01BD7" w:rsidP="0057595E">
            <w:pPr>
              <w:jc w:val="right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  <w:t>20,321,195.95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4108E3C6" w14:textId="65DAE57B" w:rsidR="00F01BD7" w:rsidRPr="00381058" w:rsidRDefault="00F01BD7" w:rsidP="0057595E">
            <w:pPr>
              <w:jc w:val="right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  <w:t>94.66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B9BD5"/>
              <w:right w:val="single" w:sz="8" w:space="0" w:color="000000"/>
            </w:tcBorders>
            <w:shd w:val="clear" w:color="000000" w:fill="FFFFFF"/>
            <w:vAlign w:val="center"/>
          </w:tcPr>
          <w:p w14:paraId="0D16F26F" w14:textId="3B03955F" w:rsidR="00F01BD7" w:rsidRPr="00381058" w:rsidRDefault="00F01BD7" w:rsidP="0057595E">
            <w:pPr>
              <w:jc w:val="right"/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1F4E79"/>
                <w:sz w:val="18"/>
                <w:szCs w:val="18"/>
              </w:rPr>
              <w:t>95.87</w:t>
            </w:r>
          </w:p>
        </w:tc>
      </w:tr>
    </w:tbl>
    <w:p w14:paraId="13845FA4" w14:textId="77777777" w:rsidR="000C1859" w:rsidRDefault="000C1859" w:rsidP="000C1859">
      <w:pPr>
        <w:rPr>
          <w:lang w:val="sq-AL" w:eastAsia="sq-AL"/>
        </w:rPr>
      </w:pPr>
    </w:p>
    <w:p w14:paraId="5855D777" w14:textId="02D54E4B" w:rsidR="00381058" w:rsidRPr="00381058" w:rsidRDefault="000C1859" w:rsidP="00381058">
      <w:pPr>
        <w:pStyle w:val="ListParagraph"/>
        <w:numPr>
          <w:ilvl w:val="0"/>
          <w:numId w:val="7"/>
        </w:numPr>
        <w:jc w:val="both"/>
        <w:rPr>
          <w:rFonts w:ascii="Calibri" w:hAnsi="Calibri" w:cs="Arial"/>
          <w:color w:val="FF0000"/>
          <w:szCs w:val="22"/>
          <w:lang w:val="sr-Latn-RS" w:eastAsia="sr-Latn-RS"/>
        </w:rPr>
      </w:pPr>
      <w:r w:rsidRPr="007270C2">
        <w:rPr>
          <w:rFonts w:ascii="Calibri" w:hAnsi="Calibri" w:cs="Arial"/>
          <w:color w:val="FF0000"/>
          <w:sz w:val="24"/>
          <w:lang w:val="sq-AL"/>
        </w:rPr>
        <w:t>Sqarim: Dallimi ndërmjet buxhetit fillestar dhe final është</w:t>
      </w:r>
      <w:r w:rsidR="000A1145" w:rsidRPr="007270C2">
        <w:rPr>
          <w:rFonts w:ascii="Calibri" w:hAnsi="Calibri" w:cs="Arial"/>
          <w:color w:val="FF0000"/>
          <w:sz w:val="24"/>
          <w:lang w:val="sq-AL"/>
        </w:rPr>
        <w:t xml:space="preserve"> për</w:t>
      </w:r>
      <w:r w:rsidR="00DE0F32">
        <w:rPr>
          <w:rFonts w:ascii="Calibri" w:hAnsi="Calibri" w:cs="Arial"/>
          <w:color w:val="FF0000"/>
          <w:sz w:val="24"/>
          <w:lang w:val="sq-AL"/>
        </w:rPr>
        <w:t xml:space="preserve"> arsye</w:t>
      </w:r>
      <w:r w:rsidR="000A1145" w:rsidRPr="007270C2">
        <w:rPr>
          <w:rFonts w:ascii="Calibri" w:hAnsi="Calibri" w:cs="Arial"/>
          <w:color w:val="FF0000"/>
          <w:sz w:val="24"/>
          <w:lang w:val="sq-AL"/>
        </w:rPr>
        <w:t xml:space="preserve"> të bartjes së </w:t>
      </w:r>
      <w:r w:rsidR="005A1159">
        <w:rPr>
          <w:rFonts w:ascii="Calibri" w:hAnsi="Calibri" w:cs="Arial"/>
          <w:color w:val="FF0000"/>
          <w:sz w:val="24"/>
          <w:lang w:val="sq-AL"/>
        </w:rPr>
        <w:t>mjeteve te mbetura nga viti 202</w:t>
      </w:r>
      <w:r w:rsidR="00392B95">
        <w:rPr>
          <w:rFonts w:ascii="Calibri" w:hAnsi="Calibri" w:cs="Arial"/>
          <w:color w:val="FF0000"/>
          <w:sz w:val="24"/>
          <w:lang w:val="sq-AL"/>
        </w:rPr>
        <w:t>4</w:t>
      </w:r>
      <w:r w:rsidR="000A1145" w:rsidRPr="007270C2">
        <w:rPr>
          <w:rFonts w:ascii="Calibri" w:hAnsi="Calibri" w:cs="Arial"/>
          <w:color w:val="FF0000"/>
          <w:sz w:val="24"/>
          <w:lang w:val="sq-AL"/>
        </w:rPr>
        <w:t xml:space="preserve"> ne </w:t>
      </w:r>
      <w:r w:rsidR="00C34D2E" w:rsidRPr="007270C2">
        <w:rPr>
          <w:rFonts w:ascii="Calibri" w:hAnsi="Calibri" w:cs="Arial"/>
          <w:color w:val="FF0000"/>
          <w:sz w:val="24"/>
          <w:lang w:val="sq-AL"/>
        </w:rPr>
        <w:t>kategorinë</w:t>
      </w:r>
      <w:r w:rsidR="000A1145" w:rsidRPr="007270C2">
        <w:rPr>
          <w:rFonts w:ascii="Calibri" w:hAnsi="Calibri" w:cs="Arial"/>
          <w:color w:val="FF0000"/>
          <w:sz w:val="24"/>
          <w:lang w:val="sq-AL"/>
        </w:rPr>
        <w:t xml:space="preserve"> e Investimeve kapitale,</w:t>
      </w:r>
      <w:r w:rsidR="00381058">
        <w:rPr>
          <w:rFonts w:ascii="Calibri" w:hAnsi="Calibri" w:cs="Arial"/>
          <w:color w:val="FF0000"/>
          <w:sz w:val="24"/>
          <w:lang w:val="sq-AL"/>
        </w:rPr>
        <w:t xml:space="preserve"> Donacionet</w:t>
      </w:r>
      <w:r w:rsidR="00F17001">
        <w:rPr>
          <w:rFonts w:ascii="Calibri" w:hAnsi="Calibri" w:cs="Arial"/>
          <w:color w:val="FF0000"/>
          <w:sz w:val="24"/>
          <w:lang w:val="sq-AL"/>
        </w:rPr>
        <w:t>, Grandi Performances,</w:t>
      </w:r>
      <w:r w:rsidR="00A60CC8">
        <w:rPr>
          <w:rFonts w:ascii="Calibri" w:hAnsi="Calibri" w:cs="Arial"/>
          <w:color w:val="FF0000"/>
          <w:sz w:val="24"/>
          <w:lang w:val="sq-AL"/>
        </w:rPr>
        <w:t xml:space="preserve"> </w:t>
      </w:r>
      <w:r w:rsidR="000A1145" w:rsidRPr="007270C2">
        <w:rPr>
          <w:rFonts w:ascii="Calibri" w:hAnsi="Calibri" w:cs="Arial"/>
          <w:color w:val="FF0000"/>
          <w:sz w:val="24"/>
          <w:lang w:val="sq-AL"/>
        </w:rPr>
        <w:t>Alokimi i huamarrjes ne Arsim dhe Shendetesi ne kate</w:t>
      </w:r>
      <w:r w:rsidR="00381058">
        <w:rPr>
          <w:rFonts w:ascii="Calibri" w:hAnsi="Calibri" w:cs="Arial"/>
          <w:color w:val="FF0000"/>
          <w:sz w:val="24"/>
          <w:lang w:val="sq-AL"/>
        </w:rPr>
        <w:t>gorin e Mallrave dhe Sherbimeve.</w:t>
      </w:r>
    </w:p>
    <w:p w14:paraId="7037D59B" w14:textId="77777777" w:rsidR="00381058" w:rsidRPr="00381058" w:rsidRDefault="00381058" w:rsidP="00381058">
      <w:pPr>
        <w:pStyle w:val="ListParagraph"/>
        <w:ind w:left="360"/>
        <w:jc w:val="both"/>
        <w:rPr>
          <w:rFonts w:ascii="Calibri" w:hAnsi="Calibri" w:cs="Arial"/>
          <w:color w:val="FF0000"/>
          <w:szCs w:val="22"/>
          <w:lang w:val="sr-Latn-RS" w:eastAsia="sr-Latn-RS"/>
        </w:rPr>
      </w:pPr>
    </w:p>
    <w:p w14:paraId="290A924C" w14:textId="1C68D27E" w:rsidR="000C1859" w:rsidRPr="0099401E" w:rsidRDefault="000D494B" w:rsidP="000D494B">
      <w:pPr>
        <w:pStyle w:val="Heading2"/>
        <w:rPr>
          <w:rFonts w:ascii="Calibri" w:hAnsi="Calibri" w:cs="Arial"/>
          <w:color w:val="000000"/>
          <w:lang w:val="sr-Latn-RS" w:eastAsia="sr-Latn-RS"/>
        </w:rPr>
      </w:pPr>
      <w:bookmarkStart w:id="8" w:name="_Toc43215593"/>
      <w:r>
        <w:rPr>
          <w:noProof/>
        </w:rPr>
        <w:drawing>
          <wp:anchor distT="0" distB="0" distL="114300" distR="114300" simplePos="0" relativeHeight="251664384" behindDoc="0" locked="0" layoutInCell="1" allowOverlap="1" wp14:anchorId="4DBA265F" wp14:editId="74670412">
            <wp:simplePos x="0" y="0"/>
            <wp:positionH relativeFrom="column">
              <wp:posOffset>-489585</wp:posOffset>
            </wp:positionH>
            <wp:positionV relativeFrom="paragraph">
              <wp:posOffset>354965</wp:posOffset>
            </wp:positionV>
            <wp:extent cx="6985000" cy="2743200"/>
            <wp:effectExtent l="0" t="0" r="6350" b="0"/>
            <wp:wrapTopAndBottom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2D4D73-5A84-4D60-B986-7EB47C16EC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</wp:anchor>
        </w:drawing>
      </w:r>
      <w:r w:rsidR="000C1859" w:rsidRPr="000D494B">
        <w:t>4.1 Paraqitja grafike</w:t>
      </w:r>
      <w:bookmarkEnd w:id="8"/>
      <w:r w:rsidR="000C1859" w:rsidRPr="000D494B">
        <w:t xml:space="preserve"> </w:t>
      </w:r>
      <w:r w:rsidR="001A7CB6">
        <w:tab/>
      </w:r>
    </w:p>
    <w:p w14:paraId="159B322C" w14:textId="7D74F6EF" w:rsidR="000C1859" w:rsidRDefault="000C1859" w:rsidP="000C185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14:paraId="7DE07D2D" w14:textId="66E28DDA" w:rsidR="000C1859" w:rsidRDefault="000C1859" w:rsidP="000C185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14:paraId="282F1438" w14:textId="77777777" w:rsidR="000C1859" w:rsidRDefault="000C1859" w:rsidP="000C185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14:paraId="31277F56" w14:textId="77777777" w:rsidR="001C407E" w:rsidRDefault="001C407E" w:rsidP="000C185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14:paraId="2D1096D1" w14:textId="77777777" w:rsidR="000C1859" w:rsidRDefault="000C1859" w:rsidP="000C1859">
      <w:pPr>
        <w:pStyle w:val="Heading1"/>
        <w:rPr>
          <w:lang w:val="sq-AL"/>
        </w:rPr>
      </w:pPr>
      <w:bookmarkStart w:id="9" w:name="_Toc43215594"/>
      <w:r>
        <w:rPr>
          <w:lang w:val="sq-AL"/>
        </w:rPr>
        <w:lastRenderedPageBreak/>
        <w:t>5</w:t>
      </w:r>
      <w:r w:rsidRPr="00834ABE">
        <w:rPr>
          <w:lang w:val="sq-AL"/>
        </w:rPr>
        <w:t xml:space="preserve">. </w:t>
      </w:r>
      <w:r>
        <w:rPr>
          <w:lang w:val="sq-AL"/>
        </w:rPr>
        <w:t>TË HYRAT VETANAKE</w:t>
      </w:r>
      <w:bookmarkEnd w:id="9"/>
    </w:p>
    <w:p w14:paraId="7076880B" w14:textId="77777777" w:rsidR="000C1859" w:rsidRDefault="000C1859" w:rsidP="000C1859">
      <w:pPr>
        <w:rPr>
          <w:rFonts w:cstheme="minorHAnsi"/>
          <w:b/>
          <w:bCs/>
          <w:color w:val="000000" w:themeColor="text1"/>
          <w:szCs w:val="22"/>
          <w:lang w:val="sq-AL" w:eastAsia="sq-AL"/>
        </w:rPr>
      </w:pPr>
    </w:p>
    <w:p w14:paraId="0E4E1013" w14:textId="1790AC1D" w:rsidR="000C1859" w:rsidRPr="00365E80" w:rsidRDefault="000C1859" w:rsidP="00A60CC8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color w:val="000000" w:themeColor="text1"/>
          <w:szCs w:val="22"/>
          <w:lang w:val="sq-AL" w:eastAsia="sq-AL"/>
        </w:rPr>
      </w:pPr>
      <w:r w:rsidRPr="00365E80">
        <w:rPr>
          <w:rFonts w:ascii="Calibri" w:hAnsi="Calibri" w:cs="Arial"/>
          <w:sz w:val="24"/>
          <w:lang w:val="sq-AL"/>
        </w:rPr>
        <w:t>Të hyrat e përgjithshme vetanak</w:t>
      </w:r>
      <w:r w:rsidR="00CB2EC1">
        <w:rPr>
          <w:rFonts w:ascii="Calibri" w:hAnsi="Calibri" w:cs="Arial"/>
          <w:sz w:val="24"/>
          <w:lang w:val="sq-AL"/>
        </w:rPr>
        <w:t>e të planifikuara për vitin 202</w:t>
      </w:r>
      <w:r w:rsidR="00B34E92">
        <w:rPr>
          <w:rFonts w:ascii="Calibri" w:hAnsi="Calibri" w:cs="Arial"/>
          <w:sz w:val="24"/>
          <w:lang w:val="sq-AL"/>
        </w:rPr>
        <w:t>4</w:t>
      </w:r>
      <w:r w:rsidRPr="00365E80">
        <w:rPr>
          <w:rFonts w:ascii="Calibri" w:hAnsi="Calibri" w:cs="Arial"/>
          <w:sz w:val="24"/>
          <w:lang w:val="sq-AL"/>
        </w:rPr>
        <w:t xml:space="preserve"> janë </w:t>
      </w:r>
      <w:r w:rsidR="004E3F06">
        <w:rPr>
          <w:rFonts w:ascii="Calibri" w:hAnsi="Calibri" w:cs="Arial"/>
          <w:sz w:val="24"/>
          <w:lang w:val="sq-AL"/>
        </w:rPr>
        <w:t>1,</w:t>
      </w:r>
      <w:r w:rsidR="00B81EB3">
        <w:rPr>
          <w:rFonts w:ascii="Calibri" w:hAnsi="Calibri" w:cs="Arial"/>
          <w:sz w:val="24"/>
          <w:lang w:val="sq-AL"/>
        </w:rPr>
        <w:t>614,904,00</w:t>
      </w:r>
      <w:r w:rsidR="00A60CC8">
        <w:rPr>
          <w:rFonts w:ascii="Calibri" w:hAnsi="Calibri" w:cs="Arial"/>
          <w:sz w:val="24"/>
          <w:lang w:val="sq-AL"/>
        </w:rPr>
        <w:t xml:space="preserve"> euro, për kë</w:t>
      </w:r>
      <w:r w:rsidRPr="00365E80">
        <w:rPr>
          <w:rFonts w:ascii="Calibri" w:hAnsi="Calibri" w:cs="Arial"/>
          <w:sz w:val="24"/>
          <w:lang w:val="sq-AL"/>
        </w:rPr>
        <w:t>të peri</w:t>
      </w:r>
      <w:r w:rsidR="0083659C">
        <w:rPr>
          <w:rFonts w:ascii="Calibri" w:hAnsi="Calibri" w:cs="Arial"/>
          <w:sz w:val="24"/>
          <w:lang w:val="sq-AL"/>
        </w:rPr>
        <w:t xml:space="preserve">udhë </w:t>
      </w:r>
      <w:r w:rsidR="007E528D">
        <w:rPr>
          <w:rFonts w:ascii="Calibri" w:hAnsi="Calibri" w:cs="Arial"/>
          <w:sz w:val="24"/>
          <w:lang w:val="sq-AL"/>
        </w:rPr>
        <w:t xml:space="preserve">janë realizuar në shumë </w:t>
      </w:r>
      <w:r w:rsidR="009A522C" w:rsidRPr="009A522C">
        <w:rPr>
          <w:rFonts w:ascii="Calibri" w:hAnsi="Calibri" w:cs="Arial"/>
          <w:color w:val="000000" w:themeColor="text1"/>
          <w:sz w:val="24"/>
          <w:lang w:val="sq-AL"/>
        </w:rPr>
        <w:t>1,909,335.83</w:t>
      </w:r>
      <w:r w:rsidR="001C407E">
        <w:rPr>
          <w:rFonts w:ascii="Calibri" w:hAnsi="Calibri" w:cs="Calibri"/>
          <w:sz w:val="24"/>
          <w:lang w:val="sq-AL"/>
        </w:rPr>
        <w:t>€</w:t>
      </w:r>
      <w:r w:rsidRPr="00365E80">
        <w:rPr>
          <w:rFonts w:ascii="Calibri" w:hAnsi="Calibri" w:cs="Arial"/>
          <w:sz w:val="24"/>
          <w:lang w:val="sq-AL"/>
        </w:rPr>
        <w:t xml:space="preserve"> apo </w:t>
      </w:r>
      <w:r w:rsidR="009A522C" w:rsidRPr="009A522C">
        <w:rPr>
          <w:rFonts w:ascii="Calibri" w:hAnsi="Calibri" w:cs="Arial"/>
          <w:sz w:val="24"/>
          <w:lang w:val="sq-AL"/>
        </w:rPr>
        <w:t>118.23</w:t>
      </w:r>
      <w:r w:rsidRPr="00365E80">
        <w:rPr>
          <w:rFonts w:ascii="Calibri" w:hAnsi="Calibri" w:cs="Arial"/>
          <w:sz w:val="24"/>
          <w:lang w:val="sq-AL"/>
        </w:rPr>
        <w:t>% të planifikimit vjetor.</w:t>
      </w:r>
    </w:p>
    <w:p w14:paraId="63CB68F7" w14:textId="77777777" w:rsidR="000C1859" w:rsidRDefault="000C1859" w:rsidP="000C1859">
      <w:pPr>
        <w:pStyle w:val="Heading1"/>
        <w:rPr>
          <w:lang w:val="sq-AL"/>
        </w:rPr>
      </w:pPr>
      <w:bookmarkStart w:id="10" w:name="_Toc43215595"/>
      <w:r>
        <w:rPr>
          <w:lang w:val="sq-AL"/>
        </w:rPr>
        <w:t>6</w:t>
      </w:r>
      <w:r w:rsidRPr="00834ABE">
        <w:rPr>
          <w:lang w:val="sq-AL"/>
        </w:rPr>
        <w:t xml:space="preserve">. </w:t>
      </w:r>
      <w:r>
        <w:rPr>
          <w:lang w:val="sq-AL"/>
        </w:rPr>
        <w:t>SEKTORI I TATIMIT NË PRONË</w:t>
      </w:r>
      <w:bookmarkEnd w:id="10"/>
    </w:p>
    <w:p w14:paraId="0D86B130" w14:textId="77777777" w:rsidR="000C1859" w:rsidRDefault="000C1859" w:rsidP="000C1859">
      <w:pPr>
        <w:rPr>
          <w:lang w:val="sq-AL"/>
        </w:rPr>
      </w:pPr>
    </w:p>
    <w:p w14:paraId="03482FAB" w14:textId="5B2A3B3A" w:rsidR="000C1859" w:rsidRPr="00A70D99" w:rsidRDefault="000C1859" w:rsidP="00A60CC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lang w:val="sq-AL"/>
        </w:rPr>
      </w:pPr>
      <w:bookmarkStart w:id="11" w:name="_Hlk183607054"/>
      <w:r w:rsidRPr="00A70D99">
        <w:rPr>
          <w:rFonts w:ascii="Calibri" w:hAnsi="Calibri" w:cs="Arial"/>
          <w:sz w:val="24"/>
          <w:lang w:val="sq-AL"/>
        </w:rPr>
        <w:t>Gjatë periudhës Ja</w:t>
      </w:r>
      <w:r w:rsidR="007D6A90">
        <w:rPr>
          <w:rFonts w:ascii="Calibri" w:hAnsi="Calibri" w:cs="Arial"/>
          <w:sz w:val="24"/>
          <w:lang w:val="sq-AL"/>
        </w:rPr>
        <w:t>nar-Dhjetor</w:t>
      </w:r>
      <w:r w:rsidR="00CB2EC1">
        <w:rPr>
          <w:rFonts w:ascii="Calibri" w:hAnsi="Calibri" w:cs="Arial"/>
          <w:sz w:val="24"/>
          <w:lang w:val="sq-AL"/>
        </w:rPr>
        <w:t xml:space="preserve"> 202</w:t>
      </w:r>
      <w:r w:rsidR="00B34E92">
        <w:rPr>
          <w:rFonts w:ascii="Calibri" w:hAnsi="Calibri" w:cs="Arial"/>
          <w:sz w:val="24"/>
          <w:lang w:val="sq-AL"/>
        </w:rPr>
        <w:t>4</w:t>
      </w:r>
      <w:r w:rsidRPr="00A70D99">
        <w:rPr>
          <w:rFonts w:ascii="Calibri" w:hAnsi="Calibri" w:cs="Arial"/>
          <w:sz w:val="24"/>
          <w:lang w:val="sq-AL"/>
        </w:rPr>
        <w:t xml:space="preserve"> sektori i tatimit në pronë ka real</w:t>
      </w:r>
      <w:r w:rsidR="00D77C72">
        <w:rPr>
          <w:rFonts w:ascii="Calibri" w:hAnsi="Calibri" w:cs="Arial"/>
          <w:sz w:val="24"/>
          <w:lang w:val="sq-AL"/>
        </w:rPr>
        <w:t xml:space="preserve">izuar të hyra në shumë prej </w:t>
      </w:r>
      <w:r w:rsidR="00BD70C0">
        <w:rPr>
          <w:rFonts w:ascii="Calibri" w:hAnsi="Calibri" w:cs="Arial"/>
          <w:sz w:val="24"/>
          <w:lang w:val="sq-AL"/>
        </w:rPr>
        <w:t>905</w:t>
      </w:r>
      <w:r w:rsidR="00302D3E" w:rsidRPr="00B27539">
        <w:rPr>
          <w:rFonts w:ascii="Calibri" w:hAnsi="Calibri" w:cs="Arial"/>
          <w:sz w:val="24"/>
          <w:lang w:val="sq-AL"/>
        </w:rPr>
        <w:t>,887.82</w:t>
      </w:r>
      <w:r w:rsidR="001C407E" w:rsidRPr="00B27539">
        <w:rPr>
          <w:rFonts w:ascii="Calibri" w:hAnsi="Calibri" w:cs="Calibri"/>
          <w:sz w:val="24"/>
          <w:lang w:val="sq-AL"/>
        </w:rPr>
        <w:t>€</w:t>
      </w:r>
      <w:r w:rsidRPr="00B27539">
        <w:rPr>
          <w:rFonts w:ascii="Calibri" w:hAnsi="Calibri" w:cs="Arial"/>
          <w:sz w:val="24"/>
          <w:lang w:val="sq-AL"/>
        </w:rPr>
        <w:t xml:space="preserve"> apo </w:t>
      </w:r>
      <w:r w:rsidR="00611E2F" w:rsidRPr="00B27539">
        <w:rPr>
          <w:rFonts w:ascii="Calibri" w:hAnsi="Calibri" w:cs="Arial"/>
          <w:sz w:val="24"/>
          <w:lang w:val="sq-AL"/>
        </w:rPr>
        <w:t>12</w:t>
      </w:r>
      <w:r w:rsidR="0060165A">
        <w:rPr>
          <w:rFonts w:ascii="Calibri" w:hAnsi="Calibri" w:cs="Arial"/>
          <w:sz w:val="24"/>
          <w:lang w:val="sq-AL"/>
        </w:rPr>
        <w:t>7</w:t>
      </w:r>
      <w:r w:rsidR="00611E2F" w:rsidRPr="00B27539">
        <w:rPr>
          <w:rFonts w:ascii="Calibri" w:hAnsi="Calibri" w:cs="Arial"/>
          <w:sz w:val="24"/>
          <w:lang w:val="sq-AL"/>
        </w:rPr>
        <w:t>.</w:t>
      </w:r>
      <w:r w:rsidR="0060165A">
        <w:rPr>
          <w:rFonts w:ascii="Calibri" w:hAnsi="Calibri" w:cs="Arial"/>
          <w:sz w:val="24"/>
          <w:lang w:val="sq-AL"/>
        </w:rPr>
        <w:t>87</w:t>
      </w:r>
      <w:r w:rsidRPr="00B27539">
        <w:rPr>
          <w:rFonts w:ascii="Calibri" w:hAnsi="Calibri" w:cs="Arial"/>
          <w:sz w:val="24"/>
          <w:lang w:val="sq-AL"/>
        </w:rPr>
        <w:t>%</w:t>
      </w:r>
      <w:r w:rsidRPr="00A70D99">
        <w:rPr>
          <w:rFonts w:ascii="Calibri" w:hAnsi="Calibri" w:cs="Arial"/>
          <w:sz w:val="24"/>
          <w:lang w:val="sq-AL"/>
        </w:rPr>
        <w:t xml:space="preserve"> të planifikimi</w:t>
      </w:r>
      <w:r w:rsidR="000215CF">
        <w:rPr>
          <w:rFonts w:ascii="Calibri" w:hAnsi="Calibri" w:cs="Arial"/>
          <w:sz w:val="24"/>
          <w:lang w:val="sq-AL"/>
        </w:rPr>
        <w:t xml:space="preserve">t vjetor (planifikimi vjetor </w:t>
      </w:r>
      <w:r w:rsidR="00611E2F" w:rsidRPr="00B27539">
        <w:rPr>
          <w:rFonts w:ascii="Calibri" w:hAnsi="Calibri" w:cs="Arial"/>
          <w:sz w:val="24"/>
          <w:lang w:val="sq-AL"/>
        </w:rPr>
        <w:t>708,419.00</w:t>
      </w:r>
      <w:r w:rsidR="001C407E" w:rsidRPr="00B27539">
        <w:rPr>
          <w:rFonts w:ascii="Calibri" w:hAnsi="Calibri" w:cs="Calibri"/>
          <w:sz w:val="24"/>
          <w:lang w:val="sq-AL"/>
        </w:rPr>
        <w:t>€</w:t>
      </w:r>
      <w:r w:rsidR="00D77C72" w:rsidRPr="00B27539">
        <w:rPr>
          <w:rFonts w:ascii="Calibri" w:hAnsi="Calibri" w:cs="Arial"/>
          <w:sz w:val="24"/>
          <w:lang w:val="sq-AL"/>
        </w:rPr>
        <w:t>).</w:t>
      </w:r>
      <w:r w:rsidR="00D77C72">
        <w:rPr>
          <w:rFonts w:ascii="Calibri" w:hAnsi="Calibri" w:cs="Arial"/>
          <w:sz w:val="24"/>
          <w:lang w:val="sq-AL"/>
        </w:rPr>
        <w:t xml:space="preserve"> Regjistrimet e reja </w:t>
      </w:r>
      <w:r w:rsidR="00E051EA">
        <w:rPr>
          <w:rFonts w:ascii="Calibri" w:hAnsi="Calibri" w:cs="Arial"/>
          <w:sz w:val="24"/>
          <w:lang w:val="sq-AL"/>
        </w:rPr>
        <w:t xml:space="preserve">janë </w:t>
      </w:r>
      <w:r w:rsidR="00302D3E">
        <w:rPr>
          <w:rFonts w:ascii="Calibri" w:hAnsi="Calibri" w:cs="Arial"/>
          <w:sz w:val="24"/>
          <w:lang w:val="sq-AL"/>
        </w:rPr>
        <w:t>265</w:t>
      </w:r>
      <w:r w:rsidR="00E051EA">
        <w:rPr>
          <w:rFonts w:ascii="Calibri" w:hAnsi="Calibri" w:cs="Arial"/>
          <w:sz w:val="24"/>
          <w:lang w:val="sq-AL"/>
        </w:rPr>
        <w:t xml:space="preserve"> </w:t>
      </w:r>
      <w:r w:rsidR="00731EE9">
        <w:rPr>
          <w:rFonts w:ascii="Calibri" w:hAnsi="Calibri" w:cs="Arial"/>
          <w:sz w:val="24"/>
          <w:lang w:val="sq-AL"/>
        </w:rPr>
        <w:t xml:space="preserve">objekte, ose </w:t>
      </w:r>
      <w:r w:rsidR="00302D3E">
        <w:rPr>
          <w:rFonts w:ascii="Calibri" w:hAnsi="Calibri" w:cs="Arial"/>
          <w:sz w:val="24"/>
          <w:lang w:val="sq-AL"/>
        </w:rPr>
        <w:t>43</w:t>
      </w:r>
      <w:r w:rsidR="007D4F0B">
        <w:rPr>
          <w:rFonts w:ascii="Calibri" w:hAnsi="Calibri" w:cs="Arial"/>
          <w:sz w:val="24"/>
          <w:lang w:val="sq-AL"/>
        </w:rPr>
        <w:t>,</w:t>
      </w:r>
      <w:r w:rsidR="00302D3E">
        <w:rPr>
          <w:rFonts w:ascii="Calibri" w:hAnsi="Calibri" w:cs="Arial"/>
          <w:sz w:val="24"/>
          <w:lang w:val="sq-AL"/>
        </w:rPr>
        <w:t>343</w:t>
      </w:r>
      <w:r w:rsidRPr="00A70D99">
        <w:rPr>
          <w:rFonts w:ascii="Calibri" w:hAnsi="Calibri" w:cs="Arial"/>
          <w:sz w:val="24"/>
          <w:lang w:val="sq-AL"/>
        </w:rPr>
        <w:t xml:space="preserve"> m2. Verifikimi  </w:t>
      </w:r>
      <w:r w:rsidR="00E051EA">
        <w:rPr>
          <w:rFonts w:ascii="Calibri" w:hAnsi="Calibri" w:cs="Arial"/>
          <w:sz w:val="24"/>
          <w:lang w:val="sq-AL"/>
        </w:rPr>
        <w:t xml:space="preserve">i objekteve  </w:t>
      </w:r>
      <w:r w:rsidR="00302D3E" w:rsidRPr="00302D3E">
        <w:rPr>
          <w:rFonts w:ascii="Calibri" w:hAnsi="Calibri" w:cs="Arial"/>
          <w:sz w:val="24"/>
          <w:lang w:val="sq-AL"/>
        </w:rPr>
        <w:t>3683</w:t>
      </w:r>
      <w:r w:rsidR="000E3DAC" w:rsidRPr="00302D3E">
        <w:rPr>
          <w:rFonts w:ascii="Calibri" w:hAnsi="Calibri" w:cs="Arial"/>
          <w:sz w:val="24"/>
          <w:lang w:val="sq-AL"/>
        </w:rPr>
        <w:t xml:space="preserve"> ose </w:t>
      </w:r>
      <w:r w:rsidR="00302D3E" w:rsidRPr="00302D3E">
        <w:rPr>
          <w:rFonts w:ascii="Calibri" w:hAnsi="Calibri" w:cs="Arial"/>
          <w:sz w:val="24"/>
          <w:lang w:val="sq-AL"/>
        </w:rPr>
        <w:t>581,718</w:t>
      </w:r>
      <w:r w:rsidRPr="00302D3E">
        <w:rPr>
          <w:rFonts w:ascii="Calibri" w:hAnsi="Calibri" w:cs="Arial"/>
          <w:sz w:val="24"/>
          <w:lang w:val="sq-AL"/>
        </w:rPr>
        <w:t xml:space="preserve"> m2.</w:t>
      </w:r>
      <w:r w:rsidRPr="00A70D99">
        <w:rPr>
          <w:rFonts w:ascii="Calibri" w:hAnsi="Calibri" w:cs="Arial"/>
          <w:sz w:val="24"/>
          <w:lang w:val="sq-AL"/>
        </w:rPr>
        <w:t xml:space="preserve"> </w:t>
      </w:r>
    </w:p>
    <w:bookmarkEnd w:id="11"/>
    <w:p w14:paraId="03597390" w14:textId="77777777" w:rsidR="004A61EA" w:rsidRPr="004A61EA" w:rsidRDefault="004A61EA" w:rsidP="004A61EA">
      <w:pPr>
        <w:spacing w:line="360" w:lineRule="auto"/>
        <w:rPr>
          <w:lang w:val="sq-AL"/>
        </w:rPr>
      </w:pPr>
    </w:p>
    <w:p w14:paraId="19B316E3" w14:textId="5E5CA817" w:rsidR="004A61EA" w:rsidRPr="00A60CC8" w:rsidRDefault="00A70D99" w:rsidP="00A60CC8">
      <w:pPr>
        <w:spacing w:line="360" w:lineRule="auto"/>
        <w:ind w:left="360"/>
        <w:rPr>
          <w:rFonts w:ascii="Calibri" w:hAnsi="Calibri" w:cs="Arial"/>
          <w:sz w:val="24"/>
          <w:lang w:val="sq-AL"/>
        </w:rPr>
      </w:pPr>
      <w:r>
        <w:rPr>
          <w:rFonts w:ascii="Calibri" w:hAnsi="Calibri" w:cs="Arial"/>
          <w:sz w:val="24"/>
          <w:lang w:val="sq-AL"/>
        </w:rPr>
        <w:t>-</w:t>
      </w:r>
      <w:r w:rsidR="000C1859" w:rsidRPr="00A70D99">
        <w:rPr>
          <w:rFonts w:ascii="Calibri" w:hAnsi="Calibri" w:cs="Arial"/>
          <w:sz w:val="24"/>
          <w:lang w:val="sq-AL"/>
        </w:rPr>
        <w:t>Vërejtje:</w:t>
      </w:r>
      <w:r w:rsidR="00A60CC8">
        <w:rPr>
          <w:rFonts w:ascii="Calibri" w:hAnsi="Calibri" w:cs="Arial"/>
          <w:sz w:val="24"/>
          <w:lang w:val="sq-AL"/>
        </w:rPr>
        <w:t xml:space="preserve"> </w:t>
      </w:r>
      <w:r w:rsidR="000C1859" w:rsidRPr="00A70D99">
        <w:rPr>
          <w:rFonts w:ascii="Calibri" w:hAnsi="Calibri" w:cs="Arial"/>
          <w:sz w:val="24"/>
          <w:lang w:val="sq-AL"/>
        </w:rPr>
        <w:t>Të gjitha të dhënat që janë të paraqitur janë përgatitur në bazë</w:t>
      </w:r>
      <w:r w:rsidR="00201CED">
        <w:rPr>
          <w:rFonts w:ascii="Calibri" w:hAnsi="Calibri" w:cs="Arial"/>
          <w:sz w:val="24"/>
          <w:lang w:val="sq-AL"/>
        </w:rPr>
        <w:t xml:space="preserve"> të raporteve deri me </w:t>
      </w:r>
      <w:r w:rsidR="00B34E92">
        <w:rPr>
          <w:rFonts w:ascii="Calibri" w:hAnsi="Calibri" w:cs="Arial"/>
          <w:sz w:val="24"/>
          <w:lang w:val="sq-AL"/>
        </w:rPr>
        <w:t>27.11.2024</w:t>
      </w:r>
    </w:p>
    <w:p w14:paraId="0681B616" w14:textId="77777777" w:rsidR="004A61EA" w:rsidRDefault="004A61EA" w:rsidP="00CB2EC1">
      <w:pPr>
        <w:spacing w:line="360" w:lineRule="auto"/>
        <w:rPr>
          <w:b/>
          <w:lang w:val="sq-AL"/>
        </w:rPr>
      </w:pPr>
    </w:p>
    <w:p w14:paraId="393313FE" w14:textId="77777777" w:rsidR="004A61EA" w:rsidRDefault="004A61EA" w:rsidP="004A61EA">
      <w:pPr>
        <w:spacing w:line="360" w:lineRule="auto"/>
        <w:rPr>
          <w:b/>
          <w:lang w:val="sq-AL"/>
        </w:rPr>
      </w:pPr>
    </w:p>
    <w:p w14:paraId="7792B69F" w14:textId="77777777" w:rsidR="004A61EA" w:rsidRDefault="004A61EA" w:rsidP="004A61EA">
      <w:pPr>
        <w:spacing w:line="360" w:lineRule="auto"/>
        <w:rPr>
          <w:b/>
          <w:lang w:val="sq-AL"/>
        </w:rPr>
      </w:pPr>
    </w:p>
    <w:p w14:paraId="5274F4E3" w14:textId="77777777" w:rsidR="004A61EA" w:rsidRDefault="004A61EA" w:rsidP="004A61EA">
      <w:pPr>
        <w:spacing w:line="360" w:lineRule="auto"/>
        <w:jc w:val="center"/>
        <w:rPr>
          <w:b/>
          <w:lang w:val="sq-AL"/>
        </w:rPr>
      </w:pPr>
      <w:r>
        <w:rPr>
          <w:b/>
          <w:lang w:val="sq-AL"/>
        </w:rPr>
        <w:t xml:space="preserve">                                                             </w:t>
      </w:r>
      <w:r w:rsidR="00CB2EC1">
        <w:rPr>
          <w:b/>
          <w:lang w:val="sq-AL"/>
        </w:rPr>
        <w:t xml:space="preserve">                            </w:t>
      </w:r>
      <w:r>
        <w:rPr>
          <w:b/>
          <w:lang w:val="sq-AL"/>
        </w:rPr>
        <w:t xml:space="preserve">          </w:t>
      </w:r>
      <w:r w:rsidR="000C1859">
        <w:rPr>
          <w:b/>
          <w:lang w:val="sq-AL"/>
        </w:rPr>
        <w:t>D</w:t>
      </w:r>
      <w:r>
        <w:rPr>
          <w:b/>
          <w:lang w:val="sq-AL"/>
        </w:rPr>
        <w:t>rejtor</w:t>
      </w:r>
      <w:r w:rsidR="003D3AC3">
        <w:rPr>
          <w:b/>
          <w:lang w:val="sq-AL"/>
        </w:rPr>
        <w:t>ia</w:t>
      </w:r>
      <w:r>
        <w:rPr>
          <w:b/>
          <w:lang w:val="sq-AL"/>
        </w:rPr>
        <w:t xml:space="preserve"> për Buxhet dhe Financa </w:t>
      </w:r>
      <w:bookmarkStart w:id="12" w:name="_GoBack"/>
      <w:bookmarkEnd w:id="12"/>
    </w:p>
    <w:p w14:paraId="6BE37D82" w14:textId="77777777" w:rsidR="008E2408" w:rsidRPr="004A61EA" w:rsidRDefault="004A61EA" w:rsidP="004A61EA">
      <w:pPr>
        <w:spacing w:line="360" w:lineRule="auto"/>
        <w:jc w:val="center"/>
        <w:rPr>
          <w:lang w:val="sq-AL" w:eastAsia="sq-AL"/>
        </w:rPr>
      </w:pPr>
      <w:r>
        <w:rPr>
          <w:b/>
          <w:lang w:val="sq-AL"/>
        </w:rPr>
        <w:t xml:space="preserve">                                                                          </w:t>
      </w:r>
      <w:r w:rsidR="00CE7FB9">
        <w:rPr>
          <w:b/>
          <w:lang w:val="sq-AL"/>
        </w:rPr>
        <w:t xml:space="preserve">                              _____________</w:t>
      </w:r>
      <w:r w:rsidR="000C1859">
        <w:rPr>
          <w:b/>
          <w:lang w:val="sq-AL"/>
        </w:rPr>
        <w:t>_________</w:t>
      </w:r>
      <w:r>
        <w:rPr>
          <w:b/>
          <w:lang w:val="sq-AL"/>
        </w:rPr>
        <w:t>____</w:t>
      </w:r>
    </w:p>
    <w:sectPr w:rsidR="008E2408" w:rsidRPr="004A61EA" w:rsidSect="00EF682B">
      <w:headerReference w:type="default" r:id="rId13"/>
      <w:footerReference w:type="default" r:id="rId14"/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2F662" w14:textId="77777777" w:rsidR="0000012A" w:rsidRDefault="0000012A" w:rsidP="000C1859">
      <w:r>
        <w:separator/>
      </w:r>
    </w:p>
  </w:endnote>
  <w:endnote w:type="continuationSeparator" w:id="0">
    <w:p w14:paraId="3B95C6AE" w14:textId="77777777" w:rsidR="0000012A" w:rsidRDefault="0000012A" w:rsidP="000C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FFE0" w14:textId="77777777" w:rsidR="005478C3" w:rsidRPr="00D24527" w:rsidRDefault="00EE3EA1" w:rsidP="000C1859">
    <w:pPr>
      <w:pStyle w:val="Footer"/>
      <w:pBdr>
        <w:top w:val="thinThickSmallGap" w:sz="24" w:space="0" w:color="823B0B" w:themeColor="accent2" w:themeShade="7F"/>
      </w:pBdr>
      <w:tabs>
        <w:tab w:val="clear" w:pos="4680"/>
        <w:tab w:val="clear" w:pos="9360"/>
        <w:tab w:val="left" w:pos="4275"/>
      </w:tabs>
      <w:spacing w:before="120" w:after="120"/>
      <w:ind w:left="547"/>
      <w:contextualSpacing/>
      <w:rPr>
        <w:rFonts w:asciiTheme="majorHAnsi" w:eastAsiaTheme="majorEastAsia" w:hAnsiTheme="majorHAnsi" w:cstheme="majorBidi"/>
        <w:b/>
        <w:sz w:val="20"/>
        <w:szCs w:val="20"/>
      </w:rPr>
    </w:pPr>
    <w:r>
      <w:rPr>
        <w:rFonts w:asciiTheme="majorHAnsi" w:eastAsiaTheme="majorEastAsia" w:hAnsiTheme="majorHAnsi" w:cstheme="majorBidi"/>
        <w:b/>
        <w:i/>
        <w:sz w:val="20"/>
        <w:szCs w:val="20"/>
      </w:rPr>
      <w:t>RAPORTI PUNËS JANAR</w:t>
    </w:r>
    <w:r w:rsidR="00320B3A">
      <w:rPr>
        <w:rFonts w:asciiTheme="majorHAnsi" w:eastAsiaTheme="majorEastAsia" w:hAnsiTheme="majorHAnsi" w:cstheme="majorBidi"/>
        <w:b/>
        <w:i/>
        <w:sz w:val="20"/>
        <w:szCs w:val="20"/>
      </w:rPr>
      <w:t>-</w:t>
    </w:r>
    <w:r>
      <w:rPr>
        <w:rFonts w:asciiTheme="majorHAnsi" w:eastAsiaTheme="majorEastAsia" w:hAnsiTheme="majorHAnsi" w:cstheme="majorBidi"/>
        <w:b/>
        <w:i/>
        <w:sz w:val="20"/>
        <w:szCs w:val="20"/>
      </w:rPr>
      <w:t xml:space="preserve"> </w:t>
    </w:r>
    <w:r w:rsidR="007D6A90">
      <w:rPr>
        <w:rFonts w:asciiTheme="majorHAnsi" w:eastAsiaTheme="majorEastAsia" w:hAnsiTheme="majorHAnsi" w:cstheme="majorBidi"/>
        <w:b/>
        <w:i/>
        <w:sz w:val="20"/>
        <w:szCs w:val="20"/>
      </w:rPr>
      <w:t>DHJETOR</w:t>
    </w:r>
    <w:r w:rsidR="00CB2EC1">
      <w:rPr>
        <w:rFonts w:asciiTheme="majorHAnsi" w:eastAsiaTheme="majorEastAsia" w:hAnsiTheme="majorHAnsi" w:cstheme="majorBidi"/>
        <w:b/>
        <w:i/>
        <w:sz w:val="20"/>
        <w:szCs w:val="20"/>
      </w:rPr>
      <w:t xml:space="preserve"> </w:t>
    </w:r>
    <w:r w:rsidR="00F154CE" w:rsidRPr="00D24527">
      <w:rPr>
        <w:rFonts w:eastAsiaTheme="minorEastAsia" w:cstheme="minorBidi"/>
        <w:b/>
        <w:sz w:val="20"/>
        <w:szCs w:val="20"/>
      </w:rPr>
      <w:fldChar w:fldCharType="begin"/>
    </w:r>
    <w:r w:rsidR="00F154CE" w:rsidRPr="00D24527">
      <w:rPr>
        <w:b/>
        <w:sz w:val="20"/>
        <w:szCs w:val="20"/>
      </w:rPr>
      <w:instrText xml:space="preserve"> PAGE   \* MERGEFORMAT </w:instrText>
    </w:r>
    <w:r w:rsidR="00F154CE" w:rsidRPr="00D24527">
      <w:rPr>
        <w:rFonts w:eastAsiaTheme="minorEastAsia" w:cstheme="minorBidi"/>
        <w:b/>
        <w:sz w:val="20"/>
        <w:szCs w:val="20"/>
      </w:rPr>
      <w:fldChar w:fldCharType="separate"/>
    </w:r>
    <w:r w:rsidR="00AC33EC" w:rsidRPr="00AC33EC">
      <w:rPr>
        <w:rFonts w:asciiTheme="majorHAnsi" w:eastAsiaTheme="majorEastAsia" w:hAnsiTheme="majorHAnsi" w:cstheme="majorBidi"/>
        <w:b/>
        <w:noProof/>
        <w:sz w:val="20"/>
        <w:szCs w:val="20"/>
      </w:rPr>
      <w:t>5</w:t>
    </w:r>
    <w:r w:rsidR="00F154CE" w:rsidRPr="00D24527">
      <w:rPr>
        <w:rFonts w:asciiTheme="majorHAnsi" w:eastAsiaTheme="majorEastAsia" w:hAnsiTheme="majorHAnsi" w:cstheme="majorBidi"/>
        <w:b/>
        <w:noProof/>
        <w:sz w:val="20"/>
        <w:szCs w:val="20"/>
      </w:rPr>
      <w:fldChar w:fldCharType="end"/>
    </w:r>
    <w:r w:rsidR="004A61EA" w:rsidRPr="00D24527">
      <w:rPr>
        <w:rFonts w:asciiTheme="majorHAnsi" w:eastAsiaTheme="majorEastAsia" w:hAnsiTheme="majorHAnsi" w:cstheme="majorBidi"/>
        <w:b/>
        <w:noProof/>
        <w:sz w:val="20"/>
        <w:szCs w:val="20"/>
      </w:rPr>
      <w:t>/6</w:t>
    </w:r>
    <w:r w:rsidR="00F154CE" w:rsidRPr="00D24527">
      <w:rPr>
        <w:rFonts w:asciiTheme="majorHAnsi" w:eastAsiaTheme="majorEastAsia" w:hAnsiTheme="majorHAnsi" w:cstheme="majorBidi"/>
        <w:b/>
        <w:noProof/>
        <w:sz w:val="20"/>
        <w:szCs w:val="20"/>
      </w:rPr>
      <w:tab/>
    </w:r>
  </w:p>
  <w:p w14:paraId="48BE2CB6" w14:textId="77777777" w:rsidR="005478C3" w:rsidRPr="006F2B77" w:rsidRDefault="00F154CE" w:rsidP="002E29D6">
    <w:pPr>
      <w:pStyle w:val="Footer"/>
      <w:tabs>
        <w:tab w:val="clear" w:pos="4680"/>
        <w:tab w:val="clear" w:pos="9360"/>
        <w:tab w:val="left" w:pos="12075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9EC30" w14:textId="77777777" w:rsidR="0000012A" w:rsidRDefault="0000012A" w:rsidP="000C1859">
      <w:r>
        <w:separator/>
      </w:r>
    </w:p>
  </w:footnote>
  <w:footnote w:type="continuationSeparator" w:id="0">
    <w:p w14:paraId="1298EA0C" w14:textId="77777777" w:rsidR="0000012A" w:rsidRDefault="0000012A" w:rsidP="000C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FC7E" w14:textId="77777777" w:rsidR="005478C3" w:rsidRDefault="0000012A">
    <w:pPr>
      <w:pStyle w:val="Header"/>
    </w:pPr>
  </w:p>
  <w:p w14:paraId="601F3242" w14:textId="77777777" w:rsidR="005478C3" w:rsidRDefault="00F154CE" w:rsidP="0099314E">
    <w:pPr>
      <w:pStyle w:val="Header"/>
      <w:tabs>
        <w:tab w:val="clear" w:pos="4680"/>
        <w:tab w:val="clear" w:pos="9360"/>
        <w:tab w:val="left" w:pos="11695"/>
      </w:tabs>
    </w:pPr>
    <w:r>
      <w:tab/>
    </w:r>
  </w:p>
  <w:p w14:paraId="27D7E891" w14:textId="77777777" w:rsidR="005478C3" w:rsidRDefault="000C1859" w:rsidP="000C1859">
    <w:pPr>
      <w:pStyle w:val="Header"/>
      <w:tabs>
        <w:tab w:val="clear" w:pos="4680"/>
        <w:tab w:val="clear" w:pos="9360"/>
        <w:tab w:val="left" w:pos="2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54A6"/>
    <w:multiLevelType w:val="hybridMultilevel"/>
    <w:tmpl w:val="7B5040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68A"/>
    <w:multiLevelType w:val="hybridMultilevel"/>
    <w:tmpl w:val="A4480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05FFE"/>
    <w:multiLevelType w:val="hybridMultilevel"/>
    <w:tmpl w:val="E17C0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2F7F"/>
    <w:multiLevelType w:val="hybridMultilevel"/>
    <w:tmpl w:val="D36E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8B7"/>
    <w:multiLevelType w:val="hybridMultilevel"/>
    <w:tmpl w:val="CF12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6F63"/>
    <w:multiLevelType w:val="hybridMultilevel"/>
    <w:tmpl w:val="65DA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0131"/>
    <w:multiLevelType w:val="hybridMultilevel"/>
    <w:tmpl w:val="E6223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D6"/>
    <w:rsid w:val="0000012A"/>
    <w:rsid w:val="000009C5"/>
    <w:rsid w:val="00005096"/>
    <w:rsid w:val="000215CF"/>
    <w:rsid w:val="00035D12"/>
    <w:rsid w:val="000657F3"/>
    <w:rsid w:val="00076C04"/>
    <w:rsid w:val="00080C0C"/>
    <w:rsid w:val="000A1145"/>
    <w:rsid w:val="000A3F79"/>
    <w:rsid w:val="000B4863"/>
    <w:rsid w:val="000B49D1"/>
    <w:rsid w:val="000C1859"/>
    <w:rsid w:val="000D494B"/>
    <w:rsid w:val="000E3B1D"/>
    <w:rsid w:val="000E3DAC"/>
    <w:rsid w:val="000F3BA9"/>
    <w:rsid w:val="000F6520"/>
    <w:rsid w:val="000F7D04"/>
    <w:rsid w:val="00110B78"/>
    <w:rsid w:val="00124D00"/>
    <w:rsid w:val="00126E57"/>
    <w:rsid w:val="001343F3"/>
    <w:rsid w:val="001566CA"/>
    <w:rsid w:val="00157C6B"/>
    <w:rsid w:val="0016545A"/>
    <w:rsid w:val="0017103E"/>
    <w:rsid w:val="001727E2"/>
    <w:rsid w:val="00187B52"/>
    <w:rsid w:val="0019352F"/>
    <w:rsid w:val="001A0E59"/>
    <w:rsid w:val="001A7CB6"/>
    <w:rsid w:val="001B1AD3"/>
    <w:rsid w:val="001B6B6A"/>
    <w:rsid w:val="001C1611"/>
    <w:rsid w:val="001C407E"/>
    <w:rsid w:val="001F13AA"/>
    <w:rsid w:val="001F2B8E"/>
    <w:rsid w:val="00200EC5"/>
    <w:rsid w:val="00201CED"/>
    <w:rsid w:val="00231929"/>
    <w:rsid w:val="00247976"/>
    <w:rsid w:val="00250A21"/>
    <w:rsid w:val="00265A15"/>
    <w:rsid w:val="00267BEB"/>
    <w:rsid w:val="002958F6"/>
    <w:rsid w:val="002B238C"/>
    <w:rsid w:val="002C4769"/>
    <w:rsid w:val="002C51F0"/>
    <w:rsid w:val="002C7A3A"/>
    <w:rsid w:val="002D40EF"/>
    <w:rsid w:val="002F66B8"/>
    <w:rsid w:val="002F7C7A"/>
    <w:rsid w:val="00302D3E"/>
    <w:rsid w:val="00303A84"/>
    <w:rsid w:val="003061D6"/>
    <w:rsid w:val="00320B3A"/>
    <w:rsid w:val="00332306"/>
    <w:rsid w:val="0034413A"/>
    <w:rsid w:val="00344F48"/>
    <w:rsid w:val="003756BE"/>
    <w:rsid w:val="00381058"/>
    <w:rsid w:val="00392B95"/>
    <w:rsid w:val="0039401A"/>
    <w:rsid w:val="0039513B"/>
    <w:rsid w:val="003B45C5"/>
    <w:rsid w:val="003B73AE"/>
    <w:rsid w:val="003D3AC3"/>
    <w:rsid w:val="003E61EF"/>
    <w:rsid w:val="003F373F"/>
    <w:rsid w:val="003F6DD3"/>
    <w:rsid w:val="004001EA"/>
    <w:rsid w:val="00412AEE"/>
    <w:rsid w:val="004243CB"/>
    <w:rsid w:val="00427113"/>
    <w:rsid w:val="00452052"/>
    <w:rsid w:val="004571DC"/>
    <w:rsid w:val="0046693A"/>
    <w:rsid w:val="00466994"/>
    <w:rsid w:val="00482D8B"/>
    <w:rsid w:val="004916D0"/>
    <w:rsid w:val="00492A28"/>
    <w:rsid w:val="00496717"/>
    <w:rsid w:val="004A5CE4"/>
    <w:rsid w:val="004A61EA"/>
    <w:rsid w:val="004E3F06"/>
    <w:rsid w:val="004E4002"/>
    <w:rsid w:val="004E5BC4"/>
    <w:rsid w:val="004F1EF7"/>
    <w:rsid w:val="004F610B"/>
    <w:rsid w:val="004F6291"/>
    <w:rsid w:val="00505995"/>
    <w:rsid w:val="00511884"/>
    <w:rsid w:val="00514547"/>
    <w:rsid w:val="00524A5C"/>
    <w:rsid w:val="00551337"/>
    <w:rsid w:val="00560059"/>
    <w:rsid w:val="00561440"/>
    <w:rsid w:val="00567272"/>
    <w:rsid w:val="0057595E"/>
    <w:rsid w:val="00583608"/>
    <w:rsid w:val="005A1159"/>
    <w:rsid w:val="005B1769"/>
    <w:rsid w:val="005C1F86"/>
    <w:rsid w:val="005D5B01"/>
    <w:rsid w:val="005E26C2"/>
    <w:rsid w:val="005E40C7"/>
    <w:rsid w:val="005E476B"/>
    <w:rsid w:val="005F0B4A"/>
    <w:rsid w:val="0060165A"/>
    <w:rsid w:val="00611E2F"/>
    <w:rsid w:val="0061263C"/>
    <w:rsid w:val="00635E96"/>
    <w:rsid w:val="006504EA"/>
    <w:rsid w:val="00667FEE"/>
    <w:rsid w:val="00686DD1"/>
    <w:rsid w:val="00686EF2"/>
    <w:rsid w:val="00691BBA"/>
    <w:rsid w:val="00692D72"/>
    <w:rsid w:val="006A30D3"/>
    <w:rsid w:val="006A6FB8"/>
    <w:rsid w:val="006B4BFD"/>
    <w:rsid w:val="006D3507"/>
    <w:rsid w:val="006E1F28"/>
    <w:rsid w:val="006E7278"/>
    <w:rsid w:val="00706320"/>
    <w:rsid w:val="007270C2"/>
    <w:rsid w:val="00731EE9"/>
    <w:rsid w:val="00735215"/>
    <w:rsid w:val="007432BE"/>
    <w:rsid w:val="00743329"/>
    <w:rsid w:val="00747237"/>
    <w:rsid w:val="00754ED3"/>
    <w:rsid w:val="00760A82"/>
    <w:rsid w:val="007701D6"/>
    <w:rsid w:val="007731EC"/>
    <w:rsid w:val="00777799"/>
    <w:rsid w:val="00785F42"/>
    <w:rsid w:val="007903B2"/>
    <w:rsid w:val="00793436"/>
    <w:rsid w:val="0079639E"/>
    <w:rsid w:val="007A372A"/>
    <w:rsid w:val="007C05B3"/>
    <w:rsid w:val="007C060D"/>
    <w:rsid w:val="007C314E"/>
    <w:rsid w:val="007D4F0B"/>
    <w:rsid w:val="007D6A90"/>
    <w:rsid w:val="007E4863"/>
    <w:rsid w:val="007E528D"/>
    <w:rsid w:val="007F567F"/>
    <w:rsid w:val="007F65DE"/>
    <w:rsid w:val="00802DA4"/>
    <w:rsid w:val="0080532A"/>
    <w:rsid w:val="00811636"/>
    <w:rsid w:val="0083659C"/>
    <w:rsid w:val="00856A78"/>
    <w:rsid w:val="00862422"/>
    <w:rsid w:val="00877457"/>
    <w:rsid w:val="0088068B"/>
    <w:rsid w:val="008820E1"/>
    <w:rsid w:val="00882F08"/>
    <w:rsid w:val="008C2B38"/>
    <w:rsid w:val="008C448C"/>
    <w:rsid w:val="008D36DD"/>
    <w:rsid w:val="008D4DFB"/>
    <w:rsid w:val="008D60AC"/>
    <w:rsid w:val="008E1451"/>
    <w:rsid w:val="008E2408"/>
    <w:rsid w:val="008E2A62"/>
    <w:rsid w:val="008E6E3D"/>
    <w:rsid w:val="00924E29"/>
    <w:rsid w:val="00935476"/>
    <w:rsid w:val="00956573"/>
    <w:rsid w:val="00957FF4"/>
    <w:rsid w:val="00965A49"/>
    <w:rsid w:val="00975E29"/>
    <w:rsid w:val="009950D0"/>
    <w:rsid w:val="009A522C"/>
    <w:rsid w:val="009C74E1"/>
    <w:rsid w:val="009E1160"/>
    <w:rsid w:val="009E384A"/>
    <w:rsid w:val="009E64BF"/>
    <w:rsid w:val="009F5BA3"/>
    <w:rsid w:val="00A262B8"/>
    <w:rsid w:val="00A360F4"/>
    <w:rsid w:val="00A41FCC"/>
    <w:rsid w:val="00A435B1"/>
    <w:rsid w:val="00A43D6D"/>
    <w:rsid w:val="00A512AC"/>
    <w:rsid w:val="00A55FBE"/>
    <w:rsid w:val="00A604E7"/>
    <w:rsid w:val="00A60CC8"/>
    <w:rsid w:val="00A70D99"/>
    <w:rsid w:val="00A77A04"/>
    <w:rsid w:val="00A80A27"/>
    <w:rsid w:val="00A87371"/>
    <w:rsid w:val="00AA5915"/>
    <w:rsid w:val="00AC33EC"/>
    <w:rsid w:val="00AC6066"/>
    <w:rsid w:val="00AD0D27"/>
    <w:rsid w:val="00AE32A8"/>
    <w:rsid w:val="00AE4D12"/>
    <w:rsid w:val="00B00969"/>
    <w:rsid w:val="00B10260"/>
    <w:rsid w:val="00B15628"/>
    <w:rsid w:val="00B1797E"/>
    <w:rsid w:val="00B27539"/>
    <w:rsid w:val="00B3314B"/>
    <w:rsid w:val="00B3458A"/>
    <w:rsid w:val="00B34E92"/>
    <w:rsid w:val="00B36285"/>
    <w:rsid w:val="00B36320"/>
    <w:rsid w:val="00B366B2"/>
    <w:rsid w:val="00B376CE"/>
    <w:rsid w:val="00B402E5"/>
    <w:rsid w:val="00B414DC"/>
    <w:rsid w:val="00B41AED"/>
    <w:rsid w:val="00B478CE"/>
    <w:rsid w:val="00B55CD4"/>
    <w:rsid w:val="00B66C67"/>
    <w:rsid w:val="00B674FB"/>
    <w:rsid w:val="00B8042A"/>
    <w:rsid w:val="00B81EB3"/>
    <w:rsid w:val="00B832F7"/>
    <w:rsid w:val="00B8561D"/>
    <w:rsid w:val="00B94E39"/>
    <w:rsid w:val="00B955CD"/>
    <w:rsid w:val="00BA2CAC"/>
    <w:rsid w:val="00BA7B76"/>
    <w:rsid w:val="00BB5A6C"/>
    <w:rsid w:val="00BC18D1"/>
    <w:rsid w:val="00BC32CA"/>
    <w:rsid w:val="00BC4D6A"/>
    <w:rsid w:val="00BC7B75"/>
    <w:rsid w:val="00BD5103"/>
    <w:rsid w:val="00BD6752"/>
    <w:rsid w:val="00BD70C0"/>
    <w:rsid w:val="00BE4624"/>
    <w:rsid w:val="00BF20DB"/>
    <w:rsid w:val="00C06078"/>
    <w:rsid w:val="00C0697D"/>
    <w:rsid w:val="00C17BB9"/>
    <w:rsid w:val="00C2100B"/>
    <w:rsid w:val="00C2525B"/>
    <w:rsid w:val="00C300BF"/>
    <w:rsid w:val="00C34D2E"/>
    <w:rsid w:val="00C516BC"/>
    <w:rsid w:val="00C81478"/>
    <w:rsid w:val="00C84D3E"/>
    <w:rsid w:val="00C87C04"/>
    <w:rsid w:val="00CA35A5"/>
    <w:rsid w:val="00CA4974"/>
    <w:rsid w:val="00CB2EC1"/>
    <w:rsid w:val="00CC1A35"/>
    <w:rsid w:val="00CE7FB9"/>
    <w:rsid w:val="00CF1E0C"/>
    <w:rsid w:val="00CF2F2E"/>
    <w:rsid w:val="00D01DA2"/>
    <w:rsid w:val="00D02337"/>
    <w:rsid w:val="00D22962"/>
    <w:rsid w:val="00D24527"/>
    <w:rsid w:val="00D32B2B"/>
    <w:rsid w:val="00D471FF"/>
    <w:rsid w:val="00D54AFC"/>
    <w:rsid w:val="00D705E0"/>
    <w:rsid w:val="00D70E3E"/>
    <w:rsid w:val="00D77457"/>
    <w:rsid w:val="00D77C72"/>
    <w:rsid w:val="00D80635"/>
    <w:rsid w:val="00D8351E"/>
    <w:rsid w:val="00D92C0F"/>
    <w:rsid w:val="00DA28DC"/>
    <w:rsid w:val="00DE0F32"/>
    <w:rsid w:val="00E051EA"/>
    <w:rsid w:val="00E072D4"/>
    <w:rsid w:val="00E11479"/>
    <w:rsid w:val="00E171A5"/>
    <w:rsid w:val="00E17671"/>
    <w:rsid w:val="00E43B79"/>
    <w:rsid w:val="00E44B88"/>
    <w:rsid w:val="00E57E1F"/>
    <w:rsid w:val="00E65FE1"/>
    <w:rsid w:val="00E67B18"/>
    <w:rsid w:val="00E93155"/>
    <w:rsid w:val="00E97239"/>
    <w:rsid w:val="00EA28BA"/>
    <w:rsid w:val="00EC68D8"/>
    <w:rsid w:val="00ED2189"/>
    <w:rsid w:val="00EE3EA1"/>
    <w:rsid w:val="00EE77D2"/>
    <w:rsid w:val="00EF4696"/>
    <w:rsid w:val="00EF5F03"/>
    <w:rsid w:val="00EF682B"/>
    <w:rsid w:val="00F01BD7"/>
    <w:rsid w:val="00F154CE"/>
    <w:rsid w:val="00F17001"/>
    <w:rsid w:val="00F235B5"/>
    <w:rsid w:val="00F330D3"/>
    <w:rsid w:val="00F458A3"/>
    <w:rsid w:val="00F5168E"/>
    <w:rsid w:val="00F60FF1"/>
    <w:rsid w:val="00F8793E"/>
    <w:rsid w:val="00FA7211"/>
    <w:rsid w:val="00FB5045"/>
    <w:rsid w:val="00FB6B56"/>
    <w:rsid w:val="00FF04C1"/>
    <w:rsid w:val="00FF077F"/>
    <w:rsid w:val="00FF22EB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E16C"/>
  <w15:docId w15:val="{EAA54783-61CE-417E-BFE2-1070FEA6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859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CB6"/>
    <w:pPr>
      <w:keepNext/>
      <w:keepLines/>
      <w:shd w:val="clear" w:color="auto" w:fill="9CC2E5" w:themeFill="accent1" w:themeFillTint="99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28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494B"/>
    <w:pPr>
      <w:keepNext/>
      <w:keepLines/>
      <w:shd w:val="clear" w:color="auto" w:fill="FFFFFF" w:themeFill="background1"/>
      <w:tabs>
        <w:tab w:val="left" w:pos="8520"/>
      </w:tabs>
      <w:ind w:left="272"/>
      <w:outlineLvl w:val="1"/>
    </w:pPr>
    <w:rPr>
      <w:rFonts w:eastAsiaTheme="majorEastAsia" w:cstheme="minorHAnsi"/>
      <w:b/>
      <w:bCs/>
      <w:color w:val="000000" w:themeColor="text1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CB6"/>
    <w:rPr>
      <w:rFonts w:asciiTheme="majorHAnsi" w:eastAsiaTheme="majorEastAsia" w:hAnsiTheme="majorHAnsi" w:cstheme="majorBidi"/>
      <w:b/>
      <w:bCs/>
      <w:color w:val="FFFFFF" w:themeColor="background1"/>
      <w:sz w:val="32"/>
      <w:szCs w:val="28"/>
      <w:shd w:val="clear" w:color="auto" w:fill="9CC2E5" w:themeFill="accent1" w:themeFillTint="99"/>
      <w:lang w:val="en-US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0D494B"/>
    <w:rPr>
      <w:rFonts w:eastAsiaTheme="majorEastAsia" w:cstheme="minorHAnsi"/>
      <w:b/>
      <w:bCs/>
      <w:color w:val="000000" w:themeColor="text1"/>
      <w:sz w:val="24"/>
      <w:szCs w:val="24"/>
      <w:shd w:val="clear" w:color="auto" w:fill="FFFFFF" w:themeFill="background1"/>
      <w:lang w:val="sq-AL" w:eastAsia="sq-AL"/>
    </w:rPr>
  </w:style>
  <w:style w:type="paragraph" w:styleId="BodyTextIndent">
    <w:name w:val="Body Text Indent"/>
    <w:basedOn w:val="Normal"/>
    <w:link w:val="BodyTextIndentChar"/>
    <w:rsid w:val="000C1859"/>
    <w:pPr>
      <w:ind w:left="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C1859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C185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C185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C1859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1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859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1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859"/>
    <w:rPr>
      <w:rFonts w:eastAsia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C185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C1859"/>
    <w:pPr>
      <w:tabs>
        <w:tab w:val="right" w:leader="dot" w:pos="10773"/>
      </w:tabs>
      <w:spacing w:after="240" w:line="276" w:lineRule="auto"/>
      <w:ind w:left="284" w:right="85"/>
    </w:pPr>
    <w:rPr>
      <w:rFonts w:eastAsiaTheme="minorEastAsia" w:cstheme="minorBidi"/>
      <w:b/>
      <w:noProof/>
      <w:szCs w:val="22"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0C1859"/>
    <w:pPr>
      <w:tabs>
        <w:tab w:val="right" w:leader="dot" w:pos="10773"/>
      </w:tabs>
      <w:spacing w:after="100"/>
      <w:ind w:left="56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859"/>
    <w:pPr>
      <w:shd w:val="clear" w:color="auto" w:fill="auto"/>
      <w:spacing w:line="276" w:lineRule="auto"/>
      <w:outlineLvl w:val="9"/>
    </w:pPr>
    <w:rPr>
      <w:color w:val="2E74B5" w:themeColor="accent1" w:theme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JANAR-DHJETOR</a:t>
            </a:r>
            <a:r>
              <a:rPr lang="en-GB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0958369057826047E-2"/>
          <c:y val="0.28891258384368623"/>
          <c:w val="0.95808326188434789"/>
          <c:h val="0.56707494896471278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Buxheti final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Paga dhe Mëditje </c:v>
                </c:pt>
                <c:pt idx="1">
                  <c:v>Mallëra dhe Shërbime </c:v>
                </c:pt>
                <c:pt idx="2">
                  <c:v>Shpenzime Komunale </c:v>
                </c:pt>
                <c:pt idx="3">
                  <c:v>Subvencione dhe Transfere</c:v>
                </c:pt>
                <c:pt idx="4">
                  <c:v>Investime Kapitale </c:v>
                </c:pt>
                <c:pt idx="5">
                  <c:v>Donacione</c:v>
                </c:pt>
                <c:pt idx="6">
                  <c:v>Totali</c:v>
                </c:pt>
              </c:strCache>
            </c:strRef>
          </c:cat>
          <c:val>
            <c:numRef>
              <c:f>Sheet1!$D$2:$D$8</c:f>
              <c:numCache>
                <c:formatCode>#,##0.00</c:formatCode>
                <c:ptCount val="7"/>
                <c:pt idx="0">
                  <c:v>10407313.560000001</c:v>
                </c:pt>
                <c:pt idx="1">
                  <c:v>2546449.7400000002</c:v>
                </c:pt>
                <c:pt idx="2">
                  <c:v>390000</c:v>
                </c:pt>
                <c:pt idx="3">
                  <c:v>960562.3</c:v>
                </c:pt>
                <c:pt idx="4">
                  <c:v>6154560.5199999996</c:v>
                </c:pt>
                <c:pt idx="5">
                  <c:v>1009650.56</c:v>
                </c:pt>
                <c:pt idx="6">
                  <c:v>21468536.68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08-4003-9A40-14EBD00116E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Alokimet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Paga dhe Mëditje </c:v>
                </c:pt>
                <c:pt idx="1">
                  <c:v>Mallëra dhe Shërbime </c:v>
                </c:pt>
                <c:pt idx="2">
                  <c:v>Shpenzime Komunale </c:v>
                </c:pt>
                <c:pt idx="3">
                  <c:v>Subvencione dhe Transfere</c:v>
                </c:pt>
                <c:pt idx="4">
                  <c:v>Investime Kapitale </c:v>
                </c:pt>
                <c:pt idx="5">
                  <c:v>Donacione</c:v>
                </c:pt>
                <c:pt idx="6">
                  <c:v>Totali</c:v>
                </c:pt>
              </c:strCache>
            </c:strRef>
          </c:cat>
          <c:val>
            <c:numRef>
              <c:f>Sheet1!$E$2:$E$8</c:f>
              <c:numCache>
                <c:formatCode>#,##0.00</c:formatCode>
                <c:ptCount val="7"/>
                <c:pt idx="0">
                  <c:v>10134904.189999999</c:v>
                </c:pt>
                <c:pt idx="1">
                  <c:v>2546449.7400000002</c:v>
                </c:pt>
                <c:pt idx="2">
                  <c:v>390000</c:v>
                </c:pt>
                <c:pt idx="3">
                  <c:v>960562.3</c:v>
                </c:pt>
                <c:pt idx="4">
                  <c:v>6154560.5199999996</c:v>
                </c:pt>
                <c:pt idx="5" formatCode="_(* #,##0.00_);_(* \(#,##0.00\);_(* &quot;-&quot;??_);_(@_)">
                  <c:v>1009650.56</c:v>
                </c:pt>
                <c:pt idx="6">
                  <c:v>21196127.309999999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08-4003-9A40-14EBD00116E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Shpenzimet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Paga dhe Mëditje </c:v>
                </c:pt>
                <c:pt idx="1">
                  <c:v>Mallëra dhe Shërbime </c:v>
                </c:pt>
                <c:pt idx="2">
                  <c:v>Shpenzime Komunale </c:v>
                </c:pt>
                <c:pt idx="3">
                  <c:v>Subvencione dhe Transfere</c:v>
                </c:pt>
                <c:pt idx="4">
                  <c:v>Investime Kapitale </c:v>
                </c:pt>
                <c:pt idx="5">
                  <c:v>Donacione</c:v>
                </c:pt>
                <c:pt idx="6">
                  <c:v>Totali</c:v>
                </c:pt>
              </c:strCache>
            </c:strRef>
          </c:cat>
          <c:val>
            <c:numRef>
              <c:f>Sheet1!$F$2:$F$8</c:f>
              <c:numCache>
                <c:formatCode>#,##0.00</c:formatCode>
                <c:ptCount val="7"/>
                <c:pt idx="0">
                  <c:v>10013146.140000001</c:v>
                </c:pt>
                <c:pt idx="1">
                  <c:v>2354430.77</c:v>
                </c:pt>
                <c:pt idx="2">
                  <c:v>325384.8</c:v>
                </c:pt>
                <c:pt idx="3">
                  <c:v>951979.31</c:v>
                </c:pt>
                <c:pt idx="4">
                  <c:v>5871170.04</c:v>
                </c:pt>
                <c:pt idx="5" formatCode="_(* #,##0.00_);_(* \(#,##0.00\);_(* &quot;-&quot;??_);_(@_)">
                  <c:v>805084.89</c:v>
                </c:pt>
                <c:pt idx="6">
                  <c:v>20321195.950000003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08-4003-9A40-14EBD00116E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86226495"/>
        <c:axId val="186227327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Sheet1!$B$1</c15:sqref>
                        </c15:formulaRef>
                      </c:ext>
                    </c:extLst>
                    <c:strCache>
                      <c:ptCount val="1"/>
                      <c:pt idx="0">
                        <c:v>Lëndët e kryera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Sheet1!$A$2:$A$8</c15:sqref>
                        </c15:formulaRef>
                      </c:ext>
                    </c:extLst>
                    <c:strCache>
                      <c:ptCount val="7"/>
                      <c:pt idx="0">
                        <c:v>Paga dhe Mëditje </c:v>
                      </c:pt>
                      <c:pt idx="1">
                        <c:v>Mallëra dhe Shërbime </c:v>
                      </c:pt>
                      <c:pt idx="2">
                        <c:v>Shpenzime Komunale </c:v>
                      </c:pt>
                      <c:pt idx="3">
                        <c:v>Subvencione dhe Transfere</c:v>
                      </c:pt>
                      <c:pt idx="4">
                        <c:v>Investime Kapitale </c:v>
                      </c:pt>
                      <c:pt idx="5">
                        <c:v>Donacione</c:v>
                      </c:pt>
                      <c:pt idx="6">
                        <c:v>Totali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Sheet1!$B$2:$B$8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</c:v>
                      </c:pt>
                      <c:pt idx="1">
                        <c:v>2046</c:v>
                      </c:pt>
                      <c:pt idx="2">
                        <c:v>643</c:v>
                      </c:pt>
                      <c:pt idx="3">
                        <c:v>238</c:v>
                      </c:pt>
                      <c:pt idx="4">
                        <c:v>187</c:v>
                      </c:pt>
                      <c:pt idx="5">
                        <c:v>0</c:v>
                      </c:pt>
                      <c:pt idx="6">
                        <c:v>3114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608-4003-9A40-14EBD00116E3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Buxheti fillestar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Sheet1!$A$2:$A$8</c15:sqref>
                        </c15:formulaRef>
                      </c:ext>
                    </c:extLst>
                    <c:strCache>
                      <c:ptCount val="7"/>
                      <c:pt idx="0">
                        <c:v>Paga dhe Mëditje </c:v>
                      </c:pt>
                      <c:pt idx="1">
                        <c:v>Mallëra dhe Shërbime </c:v>
                      </c:pt>
                      <c:pt idx="2">
                        <c:v>Shpenzime Komunale </c:v>
                      </c:pt>
                      <c:pt idx="3">
                        <c:v>Subvencione dhe Transfere</c:v>
                      </c:pt>
                      <c:pt idx="4">
                        <c:v>Investime Kapitale </c:v>
                      </c:pt>
                      <c:pt idx="5">
                        <c:v>Donacione</c:v>
                      </c:pt>
                      <c:pt idx="6">
                        <c:v>Totali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Sheet1!$C$2:$C$8</c15:sqref>
                        </c15:formulaRef>
                      </c:ext>
                    </c:extLst>
                    <c:numCache>
                      <c:formatCode>#,##0.00</c:formatCode>
                      <c:ptCount val="7"/>
                      <c:pt idx="0">
                        <c:v>10407313.560000001</c:v>
                      </c:pt>
                      <c:pt idx="1">
                        <c:v>2466340</c:v>
                      </c:pt>
                      <c:pt idx="2">
                        <c:v>390000</c:v>
                      </c:pt>
                      <c:pt idx="3">
                        <c:v>890000</c:v>
                      </c:pt>
                      <c:pt idx="4">
                        <c:v>5651132</c:v>
                      </c:pt>
                      <c:pt idx="5" formatCode="General">
                        <c:v>0</c:v>
                      </c:pt>
                      <c:pt idx="6">
                        <c:v>19804785.560000002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D608-4003-9A40-14EBD00116E3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Sheet1!$G$1</c15:sqref>
                        </c15:formulaRef>
                      </c:ext>
                    </c:extLst>
                    <c:strCache>
                      <c:ptCount val="1"/>
                      <c:pt idx="0">
                        <c:v>Shpenzim           Buxheti final         %  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Sheet1!$A$2:$A$8</c15:sqref>
                        </c15:formulaRef>
                      </c:ext>
                    </c:extLst>
                    <c:strCache>
                      <c:ptCount val="7"/>
                      <c:pt idx="0">
                        <c:v>Paga dhe Mëditje </c:v>
                      </c:pt>
                      <c:pt idx="1">
                        <c:v>Mallëra dhe Shërbime </c:v>
                      </c:pt>
                      <c:pt idx="2">
                        <c:v>Shpenzime Komunale </c:v>
                      </c:pt>
                      <c:pt idx="3">
                        <c:v>Subvencione dhe Transfere</c:v>
                      </c:pt>
                      <c:pt idx="4">
                        <c:v>Investime Kapitale </c:v>
                      </c:pt>
                      <c:pt idx="5">
                        <c:v>Donacione</c:v>
                      </c:pt>
                      <c:pt idx="6">
                        <c:v>Totali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Sheet1!$G$2:$G$8</c15:sqref>
                        </c15:formulaRef>
                      </c:ext>
                    </c:extLst>
                    <c:numCache>
                      <c:formatCode>#,##0.00</c:formatCode>
                      <c:ptCount val="7"/>
                      <c:pt idx="0">
                        <c:v>96.212592061077487</c:v>
                      </c:pt>
                      <c:pt idx="1">
                        <c:v>92.459345771340452</c:v>
                      </c:pt>
                      <c:pt idx="2">
                        <c:v>83.431999999999988</c:v>
                      </c:pt>
                      <c:pt idx="3">
                        <c:v>99.10646191298575</c:v>
                      </c:pt>
                      <c:pt idx="4">
                        <c:v>95.39543921813609</c:v>
                      </c:pt>
                      <c:pt idx="5">
                        <c:v>79.73896334985443</c:v>
                      </c:pt>
                      <c:pt idx="6">
                        <c:v>94.655710600579241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D608-4003-9A40-14EBD00116E3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Sheet1!$H$1</c15:sqref>
                        </c15:formulaRef>
                      </c:ext>
                    </c:extLst>
                    <c:strCache>
                      <c:ptCount val="1"/>
                      <c:pt idx="0">
                        <c:v>Shpenzim                     Alokim                  %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Sheet1!$A$2:$A$8</c15:sqref>
                        </c15:formulaRef>
                      </c:ext>
                    </c:extLst>
                    <c:strCache>
                      <c:ptCount val="7"/>
                      <c:pt idx="0">
                        <c:v>Paga dhe Mëditje </c:v>
                      </c:pt>
                      <c:pt idx="1">
                        <c:v>Mallëra dhe Shërbime </c:v>
                      </c:pt>
                      <c:pt idx="2">
                        <c:v>Shpenzime Komunale </c:v>
                      </c:pt>
                      <c:pt idx="3">
                        <c:v>Subvencione dhe Transfere</c:v>
                      </c:pt>
                      <c:pt idx="4">
                        <c:v>Investime Kapitale </c:v>
                      </c:pt>
                      <c:pt idx="5">
                        <c:v>Donacione</c:v>
                      </c:pt>
                      <c:pt idx="6">
                        <c:v>Totali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Sheet1!$H$2:$H$8</c15:sqref>
                        </c15:formulaRef>
                      </c:ext>
                    </c:extLst>
                    <c:numCache>
                      <c:formatCode>#,##0.00</c:formatCode>
                      <c:ptCount val="7"/>
                      <c:pt idx="0">
                        <c:v>98.798626531466013</c:v>
                      </c:pt>
                      <c:pt idx="1">
                        <c:v>92.459345771340452</c:v>
                      </c:pt>
                      <c:pt idx="2">
                        <c:v>83.431999999999988</c:v>
                      </c:pt>
                      <c:pt idx="3">
                        <c:v>99.10646191298575</c:v>
                      </c:pt>
                      <c:pt idx="4">
                        <c:v>95.39543921813609</c:v>
                      </c:pt>
                      <c:pt idx="5">
                        <c:v>79.73896334985443</c:v>
                      </c:pt>
                      <c:pt idx="6">
                        <c:v>95.872211243101859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D608-4003-9A40-14EBD00116E3}"/>
                  </c:ext>
                </c:extLst>
              </c15:ser>
            </c15:filteredBarSeries>
          </c:ext>
        </c:extLst>
      </c:barChart>
      <c:catAx>
        <c:axId val="1862264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227327"/>
        <c:crosses val="autoZero"/>
        <c:auto val="1"/>
        <c:lblAlgn val="ctr"/>
        <c:lblOffset val="100"/>
        <c:noMultiLvlLbl val="0"/>
      </c:catAx>
      <c:valAx>
        <c:axId val="186227327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186226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6F62-EC68-44C3-8049-43EAA8C2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Arben Sokoli</dc:creator>
  <cp:keywords/>
  <dc:description/>
  <cp:lastModifiedBy>Afrim Limani</cp:lastModifiedBy>
  <cp:revision>35</cp:revision>
  <cp:lastPrinted>2024-11-27T08:31:00Z</cp:lastPrinted>
  <dcterms:created xsi:type="dcterms:W3CDTF">2024-11-26T13:58:00Z</dcterms:created>
  <dcterms:modified xsi:type="dcterms:W3CDTF">2024-12-02T07:51:00Z</dcterms:modified>
</cp:coreProperties>
</file>