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E0B32" w14:textId="77777777" w:rsidR="00BC156F" w:rsidRPr="0050456B" w:rsidRDefault="00BC156F" w:rsidP="00732CA2">
      <w:pPr>
        <w:spacing w:after="0"/>
        <w:ind w:left="-630" w:firstLine="630"/>
        <w:rPr>
          <w:rFonts w:ascii="Times New Roman" w:hAnsi="Times New Roman" w:cs="Times New Roman"/>
          <w:sz w:val="32"/>
          <w:szCs w:val="32"/>
        </w:rPr>
      </w:pPr>
      <w:r>
        <w:rPr>
          <w:rFonts w:ascii="Times New Roman" w:hAnsi="Times New Roman" w:cs="Times New Roman"/>
          <w:noProof/>
          <w:sz w:val="32"/>
          <w:szCs w:val="32"/>
          <w:lang w:val="en-US"/>
        </w:rPr>
        <mc:AlternateContent>
          <mc:Choice Requires="wpg">
            <w:drawing>
              <wp:anchor distT="0" distB="0" distL="114300" distR="114300" simplePos="0" relativeHeight="251659264" behindDoc="0" locked="0" layoutInCell="1" allowOverlap="1" wp14:anchorId="123C0174" wp14:editId="6990C84A">
                <wp:simplePos x="0" y="0"/>
                <wp:positionH relativeFrom="column">
                  <wp:posOffset>598336</wp:posOffset>
                </wp:positionH>
                <wp:positionV relativeFrom="paragraph">
                  <wp:posOffset>1988</wp:posOffset>
                </wp:positionV>
                <wp:extent cx="7861465" cy="795391"/>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1465" cy="795391"/>
                          <a:chOff x="360" y="751"/>
                          <a:chExt cx="11385" cy="2097"/>
                        </a:xfrm>
                      </wpg:grpSpPr>
                      <wps:wsp>
                        <wps:cNvPr id="3" name="Text Box 3"/>
                        <wps:cNvSpPr txBox="1">
                          <a:spLocks noChangeArrowheads="1"/>
                        </wps:cNvSpPr>
                        <wps:spPr bwMode="auto">
                          <a:xfrm>
                            <a:off x="360" y="751"/>
                            <a:ext cx="1580" cy="2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70C50" w14:textId="77777777" w:rsidR="00BC156F" w:rsidRPr="002D4054" w:rsidRDefault="00BC156F" w:rsidP="00BC156F">
                              <w:pPr>
                                <w:tabs>
                                  <w:tab w:val="left" w:pos="426"/>
                                </w:tabs>
                              </w:pPr>
                              <w:r>
                                <w:rPr>
                                  <w:noProof/>
                                  <w:lang w:val="en-US"/>
                                </w:rPr>
                                <w:drawing>
                                  <wp:inline distT="0" distB="0" distL="0" distR="0" wp14:anchorId="538466E5" wp14:editId="196C3463">
                                    <wp:extent cx="765810" cy="680720"/>
                                    <wp:effectExtent l="0" t="0" r="0" b="5080"/>
                                    <wp:docPr id="7" name="Picture 2"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810" cy="6807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0260" y="931"/>
                            <a:ext cx="1485"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8198" w14:textId="77777777" w:rsidR="00BC156F" w:rsidRPr="002D4054" w:rsidRDefault="00BC156F" w:rsidP="00BC156F">
                              <w:r>
                                <w:rPr>
                                  <w:noProof/>
                                  <w:lang w:val="en-US"/>
                                </w:rPr>
                                <w:drawing>
                                  <wp:inline distT="0" distB="0" distL="0" distR="0" wp14:anchorId="76F52C2F" wp14:editId="36ACED5A">
                                    <wp:extent cx="701675" cy="616585"/>
                                    <wp:effectExtent l="0" t="0" r="3175" b="0"/>
                                    <wp:docPr id="8"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675" cy="616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1850" y="998"/>
                            <a:ext cx="8820" cy="1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6D4A" w14:textId="77777777" w:rsidR="00BC156F" w:rsidRPr="00BA046B" w:rsidRDefault="00BC156F" w:rsidP="00BC156F">
                              <w:pPr>
                                <w:jc w:val="center"/>
                                <w:rPr>
                                  <w:b/>
                                  <w:sz w:val="24"/>
                                  <w:szCs w:val="24"/>
                                </w:rPr>
                              </w:pPr>
                              <w:r>
                                <w:rPr>
                                  <w:b/>
                                  <w:sz w:val="28"/>
                                  <w:szCs w:val="28"/>
                                </w:rPr>
                                <w:t xml:space="preserve">    </w:t>
                              </w:r>
                              <w:r w:rsidRPr="00BA046B">
                                <w:rPr>
                                  <w:b/>
                                  <w:sz w:val="24"/>
                                  <w:szCs w:val="24"/>
                                </w:rPr>
                                <w:t>Republika e Kosovës / Republika Kosovo / Republic Of Kosovo</w:t>
                              </w:r>
                            </w:p>
                            <w:p w14:paraId="47DF7052" w14:textId="77777777" w:rsidR="00BC156F" w:rsidRPr="00DB068E" w:rsidRDefault="00BC156F" w:rsidP="00BC156F">
                              <w:pPr>
                                <w:jc w:val="center"/>
                                <w:rPr>
                                  <w:b/>
                                  <w:sz w:val="24"/>
                                  <w:szCs w:val="24"/>
                                </w:rPr>
                              </w:pPr>
                              <w:r>
                                <w:rPr>
                                  <w:b/>
                                  <w:sz w:val="24"/>
                                  <w:szCs w:val="24"/>
                                </w:rPr>
                                <w:t>Komuna e Rahovecit</w:t>
                              </w:r>
                              <w:r w:rsidRPr="00BA046B">
                                <w:rPr>
                                  <w:b/>
                                  <w:sz w:val="24"/>
                                  <w:szCs w:val="24"/>
                                </w:rPr>
                                <w:t xml:space="preserve"> / </w:t>
                              </w:r>
                              <w:r>
                                <w:rPr>
                                  <w:b/>
                                  <w:sz w:val="24"/>
                                  <w:szCs w:val="24"/>
                                </w:rPr>
                                <w:t>Opština</w:t>
                              </w:r>
                              <w:r w:rsidRPr="00BA046B">
                                <w:rPr>
                                  <w:b/>
                                  <w:sz w:val="24"/>
                                  <w:szCs w:val="24"/>
                                </w:rPr>
                                <w:t xml:space="preserve"> Orahovac / Municipal</w:t>
                              </w:r>
                              <w:r w:rsidRPr="00DB068E">
                                <w:rPr>
                                  <w:b/>
                                  <w:sz w:val="24"/>
                                  <w:szCs w:val="24"/>
                                </w:rPr>
                                <w:t xml:space="preserve"> </w:t>
                              </w:r>
                              <w:r>
                                <w:rPr>
                                  <w:b/>
                                  <w:sz w:val="24"/>
                                  <w:szCs w:val="24"/>
                                </w:rPr>
                                <w:t>of</w:t>
                              </w:r>
                              <w:r w:rsidRPr="00DB068E">
                                <w:rPr>
                                  <w:b/>
                                  <w:sz w:val="24"/>
                                  <w:szCs w:val="24"/>
                                </w:rPr>
                                <w:t xml:space="preserve"> Rahovec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C0174" id="Group 2" o:spid="_x0000_s1026" style="position:absolute;left:0;text-align:left;margin-left:47.1pt;margin-top:.15pt;width:619pt;height:62.65pt;z-index:251659264" coordorigin="360,751" coordsize="11385,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">
                <v:shapetype id="_x0000_t202" coordsize="21600,21600" o:spt="202" path="m,l,21600r21600,l21600,xe">
                  <v:stroke joinstyle="miter"/>
                  <v:path gradientshapeok="t" o:connecttype="rect"/>
                </v:shapetype>
                <v:shape id="Text Box 3" o:spid="_x0000_s1027" type="#_x0000_t202" style="position:absolute;left:360;top:751;width:1580;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8C70C50" w14:textId="77777777" w:rsidR="00BC156F" w:rsidRPr="002D4054" w:rsidRDefault="00BC156F" w:rsidP="00BC156F">
                        <w:pPr>
                          <w:tabs>
                            <w:tab w:val="left" w:pos="426"/>
                          </w:tabs>
                        </w:pPr>
                        <w:r>
                          <w:rPr>
                            <w:noProof/>
                            <w:lang w:val="en-US"/>
                          </w:rPr>
                          <w:drawing>
                            <wp:inline distT="0" distB="0" distL="0" distR="0" wp14:anchorId="538466E5" wp14:editId="196C3463">
                              <wp:extent cx="765810" cy="680720"/>
                              <wp:effectExtent l="0" t="0" r="0" b="5080"/>
                              <wp:docPr id="7" name="Picture 2" descr="a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810" cy="680720"/>
                                      </a:xfrm>
                                      <a:prstGeom prst="rect">
                                        <a:avLst/>
                                      </a:prstGeom>
                                      <a:noFill/>
                                      <a:ln>
                                        <a:noFill/>
                                      </a:ln>
                                    </pic:spPr>
                                  </pic:pic>
                                </a:graphicData>
                              </a:graphic>
                            </wp:inline>
                          </w:drawing>
                        </w:r>
                      </w:p>
                    </w:txbxContent>
                  </v:textbox>
                </v:shape>
                <v:shape id="Text Box 4" o:spid="_x0000_s1028" type="#_x0000_t202" style="position:absolute;left:10260;top:931;width:1485;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7228198" w14:textId="77777777" w:rsidR="00BC156F" w:rsidRPr="002D4054" w:rsidRDefault="00BC156F" w:rsidP="00BC156F">
                        <w:r>
                          <w:rPr>
                            <w:noProof/>
                            <w:lang w:val="en-US"/>
                          </w:rPr>
                          <w:drawing>
                            <wp:inline distT="0" distB="0" distL="0" distR="0" wp14:anchorId="76F52C2F" wp14:editId="36ACED5A">
                              <wp:extent cx="701675" cy="616585"/>
                              <wp:effectExtent l="0" t="0" r="3175" b="0"/>
                              <wp:docPr id="8"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1675" cy="616585"/>
                                      </a:xfrm>
                                      <a:prstGeom prst="rect">
                                        <a:avLst/>
                                      </a:prstGeom>
                                      <a:noFill/>
                                      <a:ln>
                                        <a:noFill/>
                                      </a:ln>
                                    </pic:spPr>
                                  </pic:pic>
                                </a:graphicData>
                              </a:graphic>
                            </wp:inline>
                          </w:drawing>
                        </w:r>
                      </w:p>
                    </w:txbxContent>
                  </v:textbox>
                </v:shape>
                <v:shape id="Text Box 5" o:spid="_x0000_s1029" type="#_x0000_t202" style="position:absolute;left:1850;top:998;width:8820;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31A6D4A" w14:textId="77777777" w:rsidR="00BC156F" w:rsidRPr="00BA046B" w:rsidRDefault="00BC156F" w:rsidP="00BC156F">
                        <w:pPr>
                          <w:jc w:val="center"/>
                          <w:rPr>
                            <w:b/>
                            <w:sz w:val="24"/>
                            <w:szCs w:val="24"/>
                          </w:rPr>
                        </w:pPr>
                        <w:r>
                          <w:rPr>
                            <w:b/>
                            <w:sz w:val="28"/>
                            <w:szCs w:val="28"/>
                          </w:rPr>
                          <w:t xml:space="preserve">    </w:t>
                        </w:r>
                        <w:r w:rsidRPr="00BA046B">
                          <w:rPr>
                            <w:b/>
                            <w:sz w:val="24"/>
                            <w:szCs w:val="24"/>
                          </w:rPr>
                          <w:t>Republika e Kosovës / Republika Kosovo / Republic Of Kosovo</w:t>
                        </w:r>
                      </w:p>
                      <w:p w14:paraId="47DF7052" w14:textId="77777777" w:rsidR="00BC156F" w:rsidRPr="00DB068E" w:rsidRDefault="00BC156F" w:rsidP="00BC156F">
                        <w:pPr>
                          <w:jc w:val="center"/>
                          <w:rPr>
                            <w:b/>
                            <w:sz w:val="24"/>
                            <w:szCs w:val="24"/>
                          </w:rPr>
                        </w:pPr>
                        <w:r>
                          <w:rPr>
                            <w:b/>
                            <w:sz w:val="24"/>
                            <w:szCs w:val="24"/>
                          </w:rPr>
                          <w:t>Komuna e Rahovecit</w:t>
                        </w:r>
                        <w:r w:rsidRPr="00BA046B">
                          <w:rPr>
                            <w:b/>
                            <w:sz w:val="24"/>
                            <w:szCs w:val="24"/>
                          </w:rPr>
                          <w:t xml:space="preserve"> / </w:t>
                        </w:r>
                        <w:r>
                          <w:rPr>
                            <w:b/>
                            <w:sz w:val="24"/>
                            <w:szCs w:val="24"/>
                          </w:rPr>
                          <w:t>Opština</w:t>
                        </w:r>
                        <w:r w:rsidRPr="00BA046B">
                          <w:rPr>
                            <w:b/>
                            <w:sz w:val="24"/>
                            <w:szCs w:val="24"/>
                          </w:rPr>
                          <w:t xml:space="preserve"> Orahovac / Municipal</w:t>
                        </w:r>
                        <w:r w:rsidRPr="00DB068E">
                          <w:rPr>
                            <w:b/>
                            <w:sz w:val="24"/>
                            <w:szCs w:val="24"/>
                          </w:rPr>
                          <w:t xml:space="preserve"> </w:t>
                        </w:r>
                        <w:r>
                          <w:rPr>
                            <w:b/>
                            <w:sz w:val="24"/>
                            <w:szCs w:val="24"/>
                          </w:rPr>
                          <w:t>of</w:t>
                        </w:r>
                        <w:r w:rsidRPr="00DB068E">
                          <w:rPr>
                            <w:b/>
                            <w:sz w:val="24"/>
                            <w:szCs w:val="24"/>
                          </w:rPr>
                          <w:t xml:space="preserve"> Rahovec</w:t>
                        </w:r>
                      </w:p>
                    </w:txbxContent>
                  </v:textbox>
                </v:shape>
              </v:group>
            </w:pict>
          </mc:Fallback>
        </mc:AlternateContent>
      </w:r>
    </w:p>
    <w:p w14:paraId="32903F7A" w14:textId="77777777" w:rsidR="00BC156F" w:rsidRPr="0050456B" w:rsidRDefault="00BC156F" w:rsidP="00732CA2">
      <w:pPr>
        <w:spacing w:after="0"/>
        <w:jc w:val="center"/>
      </w:pPr>
    </w:p>
    <w:p w14:paraId="62DFFBA4" w14:textId="77777777" w:rsidR="00BC156F" w:rsidRDefault="00BC156F" w:rsidP="00732CA2">
      <w:pPr>
        <w:spacing w:after="0"/>
        <w:rPr>
          <w:rFonts w:ascii="Book Antiqua" w:hAnsi="Book Antiqua"/>
          <w:sz w:val="24"/>
          <w:szCs w:val="24"/>
        </w:rPr>
      </w:pPr>
    </w:p>
    <w:p w14:paraId="45C5B7FE" w14:textId="77777777" w:rsidR="00BC156F" w:rsidRDefault="00BC156F" w:rsidP="00732CA2">
      <w:pPr>
        <w:spacing w:after="0"/>
        <w:rPr>
          <w:rFonts w:ascii="Book Antiqua" w:hAnsi="Book Antiqua"/>
          <w:sz w:val="24"/>
          <w:szCs w:val="24"/>
        </w:rPr>
      </w:pPr>
      <w:r w:rsidRPr="004B57E7">
        <w:rPr>
          <w:rFonts w:ascii="Book Antiqua" w:hAnsi="Book Antiqua"/>
          <w:sz w:val="24"/>
          <w:szCs w:val="24"/>
        </w:rPr>
        <w:t>Për</w:t>
      </w:r>
      <w:r>
        <w:rPr>
          <w:rFonts w:ascii="Book Antiqua" w:hAnsi="Book Antiqua"/>
          <w:sz w:val="24"/>
          <w:szCs w:val="24"/>
        </w:rPr>
        <w:t xml:space="preserve">: </w:t>
      </w:r>
      <w:r w:rsidRPr="004B57E7">
        <w:rPr>
          <w:rFonts w:ascii="Book Antiqua" w:hAnsi="Book Antiqua"/>
          <w:sz w:val="24"/>
          <w:szCs w:val="24"/>
        </w:rPr>
        <w:t>Zyrën Kombëtare të Auditimit</w:t>
      </w:r>
      <w:r w:rsidRPr="00EF79AB">
        <w:rPr>
          <w:rFonts w:ascii="Book Antiqua" w:hAnsi="Book Antiqua"/>
          <w:sz w:val="24"/>
          <w:szCs w:val="24"/>
        </w:rPr>
        <w:t xml:space="preserve"> </w:t>
      </w:r>
      <w:r>
        <w:rPr>
          <w:rFonts w:ascii="Book Antiqua" w:hAnsi="Book Antiqua"/>
          <w:sz w:val="24"/>
          <w:szCs w:val="24"/>
        </w:rPr>
        <w:t xml:space="preserve">                                                                                      </w:t>
      </w:r>
      <w:r w:rsidRPr="004B57E7">
        <w:rPr>
          <w:rFonts w:ascii="Book Antiqua" w:hAnsi="Book Antiqua"/>
          <w:sz w:val="24"/>
          <w:szCs w:val="24"/>
        </w:rPr>
        <w:t>Nga</w:t>
      </w:r>
      <w:r>
        <w:rPr>
          <w:rFonts w:ascii="Book Antiqua" w:hAnsi="Book Antiqua"/>
          <w:sz w:val="24"/>
          <w:szCs w:val="24"/>
        </w:rPr>
        <w:t>:</w:t>
      </w:r>
      <w:r w:rsidRPr="004B57E7">
        <w:rPr>
          <w:rFonts w:ascii="Book Antiqua" w:hAnsi="Book Antiqua"/>
          <w:sz w:val="24"/>
          <w:szCs w:val="24"/>
        </w:rPr>
        <w:t xml:space="preserve"> z.</w:t>
      </w:r>
      <w:r>
        <w:rPr>
          <w:rFonts w:ascii="Book Antiqua" w:hAnsi="Book Antiqua"/>
          <w:sz w:val="24"/>
          <w:szCs w:val="24"/>
        </w:rPr>
        <w:t xml:space="preserve"> Smajl Latifi,</w:t>
      </w:r>
      <w:r w:rsidRPr="004B57E7">
        <w:rPr>
          <w:rFonts w:ascii="Book Antiqua" w:hAnsi="Book Antiqua"/>
          <w:sz w:val="24"/>
          <w:szCs w:val="24"/>
        </w:rPr>
        <w:t xml:space="preserve"> Kryetar </w:t>
      </w:r>
      <w:r>
        <w:rPr>
          <w:rFonts w:ascii="Book Antiqua" w:hAnsi="Book Antiqua"/>
          <w:sz w:val="24"/>
          <w:szCs w:val="24"/>
        </w:rPr>
        <w:t>i</w:t>
      </w:r>
      <w:r w:rsidRPr="004B57E7">
        <w:rPr>
          <w:rFonts w:ascii="Book Antiqua" w:hAnsi="Book Antiqua"/>
          <w:sz w:val="24"/>
          <w:szCs w:val="24"/>
        </w:rPr>
        <w:t xml:space="preserve"> Komunës</w:t>
      </w:r>
      <w:r>
        <w:rPr>
          <w:rFonts w:ascii="Book Antiqua" w:hAnsi="Book Antiqua"/>
          <w:sz w:val="24"/>
          <w:szCs w:val="24"/>
        </w:rPr>
        <w:t xml:space="preserve"> së Rahovecit</w:t>
      </w:r>
    </w:p>
    <w:p w14:paraId="4D3056F3" w14:textId="77777777" w:rsidR="00BC156F" w:rsidRPr="00912F16" w:rsidRDefault="00BC156F" w:rsidP="00732CA2">
      <w:pPr>
        <w:spacing w:after="0"/>
        <w:rPr>
          <w:rFonts w:ascii="Book Antiqua" w:hAnsi="Book Antiqua"/>
          <w:sz w:val="24"/>
          <w:szCs w:val="24"/>
        </w:rPr>
      </w:pPr>
      <w:r>
        <w:rPr>
          <w:rFonts w:ascii="Book Antiqua" w:hAnsi="Book Antiqua"/>
          <w:sz w:val="24"/>
          <w:szCs w:val="24"/>
        </w:rPr>
        <w:t xml:space="preserve">                                                                                                                                                    ______________________________________________                                                                 </w:t>
      </w:r>
    </w:p>
    <w:p w14:paraId="528493A6" w14:textId="5AE74F7C" w:rsidR="00BC156F" w:rsidRPr="0050456B" w:rsidRDefault="00C95122" w:rsidP="00732CA2">
      <w:pPr>
        <w:spacing w:after="0" w:line="240" w:lineRule="auto"/>
        <w:jc w:val="center"/>
        <w:rPr>
          <w:rFonts w:ascii="Book Antiqua" w:hAnsi="Book Antiqua"/>
          <w:b/>
          <w:sz w:val="24"/>
          <w:szCs w:val="24"/>
        </w:rPr>
      </w:pPr>
      <w:r>
        <w:rPr>
          <w:rFonts w:ascii="Book Antiqua" w:hAnsi="Book Antiqua"/>
          <w:b/>
          <w:sz w:val="24"/>
          <w:szCs w:val="24"/>
        </w:rPr>
        <w:t>RAPORTI MBI</w:t>
      </w:r>
      <w:r w:rsidR="00BC156F" w:rsidRPr="0050456B">
        <w:rPr>
          <w:rFonts w:ascii="Book Antiqua" w:hAnsi="Book Antiqua"/>
          <w:b/>
          <w:sz w:val="24"/>
          <w:szCs w:val="24"/>
        </w:rPr>
        <w:t xml:space="preserve"> ZBATIMIN E REKOMANDIMEVE</w:t>
      </w:r>
    </w:p>
    <w:p w14:paraId="43212C4F" w14:textId="39099598" w:rsidR="00BC156F" w:rsidRPr="00196B1C" w:rsidRDefault="00BC156F" w:rsidP="00732CA2">
      <w:pPr>
        <w:spacing w:after="0" w:line="240" w:lineRule="auto"/>
        <w:rPr>
          <w:rFonts w:ascii="Book Antiqua" w:hAnsi="Book Antiqua"/>
          <w:sz w:val="24"/>
          <w:szCs w:val="24"/>
        </w:rPr>
      </w:pPr>
      <w:r>
        <w:rPr>
          <w:rFonts w:ascii="Book Antiqua" w:hAnsi="Book Antiqua"/>
          <w:b/>
          <w:sz w:val="24"/>
          <w:szCs w:val="24"/>
        </w:rPr>
        <w:t xml:space="preserve">                                                                  </w:t>
      </w:r>
      <w:r w:rsidR="008B621F">
        <w:rPr>
          <w:rFonts w:ascii="Book Antiqua" w:hAnsi="Book Antiqua"/>
          <w:b/>
          <w:sz w:val="24"/>
          <w:szCs w:val="24"/>
        </w:rPr>
        <w:t>T</w:t>
      </w:r>
      <w:r w:rsidRPr="0050456B">
        <w:rPr>
          <w:rFonts w:ascii="Book Antiqua" w:hAnsi="Book Antiqua"/>
          <w:b/>
          <w:sz w:val="24"/>
          <w:szCs w:val="24"/>
        </w:rPr>
        <w:t xml:space="preserve">ë dhëna në Raportin </w:t>
      </w:r>
      <w:r>
        <w:rPr>
          <w:rFonts w:ascii="Book Antiqua" w:hAnsi="Book Antiqua"/>
          <w:b/>
          <w:sz w:val="24"/>
          <w:szCs w:val="24"/>
        </w:rPr>
        <w:t>e Auditimit</w:t>
      </w:r>
      <w:r w:rsidRPr="0050456B">
        <w:rPr>
          <w:rFonts w:ascii="Book Antiqua" w:hAnsi="Book Antiqua"/>
          <w:b/>
          <w:sz w:val="24"/>
          <w:szCs w:val="24"/>
        </w:rPr>
        <w:t xml:space="preserve"> nga Zyra Kombëtare e Auditimit</w:t>
      </w:r>
      <w:r>
        <w:rPr>
          <w:rFonts w:ascii="Book Antiqua" w:hAnsi="Book Antiqua"/>
          <w:sz w:val="24"/>
          <w:szCs w:val="24"/>
        </w:rPr>
        <w:t xml:space="preserve">  për vitin 202</w:t>
      </w:r>
      <w:r w:rsidR="0015166E">
        <w:rPr>
          <w:rFonts w:ascii="Book Antiqua" w:hAnsi="Book Antiqua"/>
          <w:sz w:val="24"/>
          <w:szCs w:val="24"/>
        </w:rPr>
        <w:t>2</w:t>
      </w:r>
    </w:p>
    <w:tbl>
      <w:tblPr>
        <w:tblStyle w:val="TableGrid"/>
        <w:tblpPr w:leftFromText="180" w:rightFromText="180" w:vertAnchor="text" w:horzAnchor="page" w:tblpXSpec="center" w:tblpY="361"/>
        <w:tblW w:w="15300" w:type="dxa"/>
        <w:jc w:val="center"/>
        <w:tblLayout w:type="fixed"/>
        <w:tblLook w:val="04A0" w:firstRow="1" w:lastRow="0" w:firstColumn="1" w:lastColumn="0" w:noHBand="0" w:noVBand="1"/>
      </w:tblPr>
      <w:tblGrid>
        <w:gridCol w:w="535"/>
        <w:gridCol w:w="1260"/>
        <w:gridCol w:w="5400"/>
        <w:gridCol w:w="3060"/>
        <w:gridCol w:w="1980"/>
        <w:gridCol w:w="1350"/>
        <w:gridCol w:w="810"/>
        <w:gridCol w:w="905"/>
      </w:tblGrid>
      <w:tr w:rsidR="00BC156F" w:rsidRPr="0050456B" w14:paraId="35B05397" w14:textId="77777777" w:rsidTr="00F23493">
        <w:trPr>
          <w:trHeight w:val="82"/>
          <w:jc w:val="center"/>
        </w:trPr>
        <w:tc>
          <w:tcPr>
            <w:tcW w:w="535" w:type="dxa"/>
            <w:shd w:val="clear" w:color="auto" w:fill="B4C6E7" w:themeFill="accent1" w:themeFillTint="66"/>
            <w:vAlign w:val="center"/>
          </w:tcPr>
          <w:p w14:paraId="6AADA6D7" w14:textId="77777777" w:rsidR="00BC156F" w:rsidRPr="00912F16" w:rsidRDefault="00BC156F" w:rsidP="00732CA2">
            <w:pPr>
              <w:spacing w:after="0"/>
              <w:rPr>
                <w:b/>
                <w:sz w:val="20"/>
                <w:szCs w:val="20"/>
              </w:rPr>
            </w:pPr>
          </w:p>
          <w:p w14:paraId="22E685A3" w14:textId="77777777" w:rsidR="00BC156F" w:rsidRPr="00912F16" w:rsidRDefault="00BC156F" w:rsidP="00732CA2">
            <w:pPr>
              <w:spacing w:after="0"/>
              <w:jc w:val="center"/>
              <w:rPr>
                <w:b/>
                <w:sz w:val="20"/>
                <w:szCs w:val="20"/>
              </w:rPr>
            </w:pPr>
          </w:p>
          <w:p w14:paraId="00A1778A" w14:textId="77777777" w:rsidR="00BC156F" w:rsidRPr="00912F16" w:rsidRDefault="00BC156F" w:rsidP="00732CA2">
            <w:pPr>
              <w:spacing w:after="0"/>
              <w:jc w:val="center"/>
              <w:rPr>
                <w:b/>
                <w:sz w:val="20"/>
                <w:szCs w:val="20"/>
              </w:rPr>
            </w:pPr>
            <w:r>
              <w:rPr>
                <w:b/>
                <w:sz w:val="20"/>
                <w:szCs w:val="20"/>
              </w:rPr>
              <w:t>Nr</w:t>
            </w:r>
          </w:p>
          <w:p w14:paraId="4D739AE2" w14:textId="77777777" w:rsidR="00BC156F" w:rsidRPr="00912F16" w:rsidRDefault="00BC156F" w:rsidP="00732CA2">
            <w:pPr>
              <w:spacing w:after="0"/>
              <w:jc w:val="center"/>
              <w:rPr>
                <w:b/>
                <w:sz w:val="20"/>
                <w:szCs w:val="20"/>
              </w:rPr>
            </w:pPr>
          </w:p>
          <w:p w14:paraId="6709C151" w14:textId="77777777" w:rsidR="00BC156F" w:rsidRPr="00912F16" w:rsidRDefault="00BC156F" w:rsidP="00732CA2">
            <w:pPr>
              <w:spacing w:after="0"/>
              <w:jc w:val="center"/>
              <w:rPr>
                <w:b/>
                <w:sz w:val="20"/>
                <w:szCs w:val="20"/>
              </w:rPr>
            </w:pPr>
          </w:p>
          <w:p w14:paraId="7C4A3755" w14:textId="77777777" w:rsidR="00BC156F" w:rsidRPr="00912F16" w:rsidRDefault="00BC156F" w:rsidP="00732CA2">
            <w:pPr>
              <w:spacing w:after="0"/>
              <w:jc w:val="center"/>
              <w:rPr>
                <w:b/>
                <w:sz w:val="20"/>
                <w:szCs w:val="20"/>
              </w:rPr>
            </w:pPr>
          </w:p>
        </w:tc>
        <w:tc>
          <w:tcPr>
            <w:tcW w:w="1260" w:type="dxa"/>
            <w:shd w:val="clear" w:color="auto" w:fill="B4C6E7" w:themeFill="accent1" w:themeFillTint="66"/>
            <w:vAlign w:val="center"/>
          </w:tcPr>
          <w:p w14:paraId="4639C232" w14:textId="77777777" w:rsidR="00BC156F" w:rsidRPr="00912F16" w:rsidRDefault="00BC156F" w:rsidP="00732CA2">
            <w:pPr>
              <w:spacing w:after="0"/>
              <w:jc w:val="center"/>
              <w:rPr>
                <w:b/>
                <w:sz w:val="20"/>
                <w:szCs w:val="20"/>
              </w:rPr>
            </w:pPr>
            <w:r w:rsidRPr="00912F16">
              <w:rPr>
                <w:b/>
                <w:sz w:val="20"/>
                <w:szCs w:val="20"/>
              </w:rPr>
              <w:t>Komponenta e auditimit (kapitulli)</w:t>
            </w:r>
          </w:p>
        </w:tc>
        <w:tc>
          <w:tcPr>
            <w:tcW w:w="5400" w:type="dxa"/>
            <w:shd w:val="clear" w:color="auto" w:fill="B4C6E7" w:themeFill="accent1" w:themeFillTint="66"/>
            <w:vAlign w:val="center"/>
          </w:tcPr>
          <w:p w14:paraId="30DBDDFE" w14:textId="77777777" w:rsidR="00BC156F" w:rsidRPr="00912F16" w:rsidRDefault="00BC156F" w:rsidP="00732CA2">
            <w:pPr>
              <w:spacing w:after="0"/>
              <w:jc w:val="center"/>
              <w:rPr>
                <w:b/>
                <w:sz w:val="20"/>
                <w:szCs w:val="20"/>
              </w:rPr>
            </w:pPr>
            <w:r w:rsidRPr="00912F16">
              <w:rPr>
                <w:b/>
                <w:sz w:val="20"/>
                <w:szCs w:val="20"/>
              </w:rPr>
              <w:t>Gjetja</w:t>
            </w:r>
          </w:p>
        </w:tc>
        <w:tc>
          <w:tcPr>
            <w:tcW w:w="3060" w:type="dxa"/>
            <w:shd w:val="clear" w:color="auto" w:fill="B4C6E7" w:themeFill="accent1" w:themeFillTint="66"/>
            <w:vAlign w:val="center"/>
          </w:tcPr>
          <w:p w14:paraId="7DE02D57" w14:textId="77777777" w:rsidR="00BC156F" w:rsidRPr="00912F16" w:rsidRDefault="00BC156F" w:rsidP="00732CA2">
            <w:pPr>
              <w:spacing w:after="0"/>
              <w:jc w:val="center"/>
              <w:rPr>
                <w:b/>
                <w:sz w:val="20"/>
                <w:szCs w:val="20"/>
              </w:rPr>
            </w:pPr>
            <w:r w:rsidRPr="00912F16">
              <w:rPr>
                <w:b/>
                <w:sz w:val="20"/>
                <w:szCs w:val="20"/>
              </w:rPr>
              <w:t>Rekomandimi</w:t>
            </w:r>
          </w:p>
        </w:tc>
        <w:tc>
          <w:tcPr>
            <w:tcW w:w="1980" w:type="dxa"/>
            <w:shd w:val="clear" w:color="auto" w:fill="B4C6E7" w:themeFill="accent1" w:themeFillTint="66"/>
            <w:vAlign w:val="center"/>
          </w:tcPr>
          <w:p w14:paraId="1C385B2B" w14:textId="77777777" w:rsidR="00BC156F" w:rsidRPr="00912F16" w:rsidRDefault="00BC156F" w:rsidP="00732CA2">
            <w:pPr>
              <w:spacing w:after="0"/>
              <w:jc w:val="center"/>
              <w:rPr>
                <w:b/>
                <w:sz w:val="20"/>
                <w:szCs w:val="20"/>
              </w:rPr>
            </w:pPr>
            <w:r w:rsidRPr="00912F16">
              <w:rPr>
                <w:b/>
                <w:sz w:val="20"/>
                <w:szCs w:val="20"/>
              </w:rPr>
              <w:t>Veprimet   e  planifikuara për tu ndërmarre</w:t>
            </w:r>
          </w:p>
        </w:tc>
        <w:tc>
          <w:tcPr>
            <w:tcW w:w="1350" w:type="dxa"/>
            <w:shd w:val="clear" w:color="auto" w:fill="B4C6E7" w:themeFill="accent1" w:themeFillTint="66"/>
            <w:vAlign w:val="center"/>
          </w:tcPr>
          <w:p w14:paraId="390E3E23" w14:textId="77777777" w:rsidR="00BC156F" w:rsidRPr="00912F16" w:rsidRDefault="00BC156F" w:rsidP="00732CA2">
            <w:pPr>
              <w:spacing w:after="0"/>
              <w:jc w:val="center"/>
              <w:rPr>
                <w:b/>
                <w:sz w:val="20"/>
                <w:szCs w:val="20"/>
              </w:rPr>
            </w:pPr>
            <w:r w:rsidRPr="00912F16">
              <w:rPr>
                <w:b/>
                <w:sz w:val="20"/>
                <w:szCs w:val="20"/>
              </w:rPr>
              <w:t>Zyrtar përgjegjës</w:t>
            </w:r>
          </w:p>
        </w:tc>
        <w:tc>
          <w:tcPr>
            <w:tcW w:w="810" w:type="dxa"/>
            <w:shd w:val="clear" w:color="auto" w:fill="B4C6E7" w:themeFill="accent1" w:themeFillTint="66"/>
            <w:vAlign w:val="center"/>
          </w:tcPr>
          <w:p w14:paraId="7272A36C" w14:textId="77777777" w:rsidR="00BC156F" w:rsidRPr="00912F16" w:rsidRDefault="00BC156F" w:rsidP="00732CA2">
            <w:pPr>
              <w:spacing w:after="0"/>
              <w:jc w:val="center"/>
              <w:rPr>
                <w:b/>
                <w:sz w:val="20"/>
                <w:szCs w:val="20"/>
              </w:rPr>
            </w:pPr>
            <w:r w:rsidRPr="00912F16">
              <w:rPr>
                <w:b/>
                <w:sz w:val="20"/>
                <w:szCs w:val="20"/>
              </w:rPr>
              <w:t>Data e planifikuara e zbatimit të rekomandimit</w:t>
            </w:r>
          </w:p>
        </w:tc>
        <w:tc>
          <w:tcPr>
            <w:tcW w:w="905" w:type="dxa"/>
            <w:shd w:val="clear" w:color="auto" w:fill="B4C6E7" w:themeFill="accent1" w:themeFillTint="66"/>
          </w:tcPr>
          <w:p w14:paraId="32F456DA" w14:textId="77777777" w:rsidR="00BC156F" w:rsidRDefault="00BC156F" w:rsidP="00732CA2">
            <w:pPr>
              <w:spacing w:after="0"/>
              <w:jc w:val="center"/>
              <w:rPr>
                <w:b/>
                <w:sz w:val="20"/>
                <w:szCs w:val="20"/>
              </w:rPr>
            </w:pPr>
          </w:p>
          <w:p w14:paraId="62B4C355" w14:textId="77777777" w:rsidR="00BC156F" w:rsidRDefault="00BC156F" w:rsidP="00732CA2">
            <w:pPr>
              <w:spacing w:after="0"/>
              <w:jc w:val="center"/>
              <w:rPr>
                <w:b/>
                <w:sz w:val="20"/>
                <w:szCs w:val="20"/>
              </w:rPr>
            </w:pPr>
          </w:p>
          <w:p w14:paraId="4BB6816C" w14:textId="77777777" w:rsidR="00BC156F" w:rsidRDefault="00BC156F" w:rsidP="00732CA2">
            <w:pPr>
              <w:spacing w:after="0"/>
              <w:jc w:val="center"/>
              <w:rPr>
                <w:b/>
                <w:sz w:val="20"/>
                <w:szCs w:val="20"/>
              </w:rPr>
            </w:pPr>
          </w:p>
          <w:p w14:paraId="338FFB81" w14:textId="77777777" w:rsidR="00BC156F" w:rsidRPr="00912F16" w:rsidRDefault="00BC156F" w:rsidP="00732CA2">
            <w:pPr>
              <w:spacing w:after="0"/>
              <w:jc w:val="center"/>
              <w:rPr>
                <w:b/>
                <w:sz w:val="20"/>
                <w:szCs w:val="20"/>
              </w:rPr>
            </w:pPr>
            <w:r w:rsidRPr="00912F16">
              <w:rPr>
                <w:b/>
                <w:sz w:val="20"/>
                <w:szCs w:val="20"/>
              </w:rPr>
              <w:t>Komente</w:t>
            </w:r>
          </w:p>
        </w:tc>
      </w:tr>
      <w:tr w:rsidR="00930B7C" w:rsidRPr="00912F16" w14:paraId="2A500D97" w14:textId="77777777" w:rsidTr="00F23493">
        <w:trPr>
          <w:trHeight w:val="33"/>
          <w:jc w:val="center"/>
        </w:trPr>
        <w:tc>
          <w:tcPr>
            <w:tcW w:w="535" w:type="dxa"/>
          </w:tcPr>
          <w:p w14:paraId="5CB2A7E9" w14:textId="77777777" w:rsidR="00930B7C" w:rsidRPr="00242418" w:rsidRDefault="00930B7C" w:rsidP="00930B7C">
            <w:pPr>
              <w:spacing w:after="0"/>
              <w:rPr>
                <w:rFonts w:ascii="Book Antiqua" w:hAnsi="Book Antiqua"/>
                <w:b/>
                <w:sz w:val="24"/>
                <w:szCs w:val="24"/>
              </w:rPr>
            </w:pPr>
            <w:r w:rsidRPr="00242418">
              <w:rPr>
                <w:rFonts w:ascii="Book Antiqua" w:hAnsi="Book Antiqua"/>
                <w:b/>
                <w:sz w:val="24"/>
                <w:szCs w:val="24"/>
              </w:rPr>
              <w:t>1.</w:t>
            </w:r>
          </w:p>
        </w:tc>
        <w:tc>
          <w:tcPr>
            <w:tcW w:w="1260" w:type="dxa"/>
          </w:tcPr>
          <w:p w14:paraId="5B0783DC" w14:textId="1CC784A5" w:rsidR="00930B7C" w:rsidRPr="00912F16" w:rsidRDefault="00930B7C" w:rsidP="00930B7C">
            <w:pPr>
              <w:spacing w:after="0"/>
              <w:jc w:val="center"/>
              <w:rPr>
                <w:rFonts w:ascii="Sylfaen" w:hAnsi="Sylfaen"/>
                <w:b/>
                <w:sz w:val="20"/>
                <w:szCs w:val="20"/>
              </w:rPr>
            </w:pPr>
            <w:r w:rsidRPr="00737B8C">
              <w:rPr>
                <w:b/>
              </w:rPr>
              <w:t>Çështja A1</w:t>
            </w:r>
            <w:r>
              <w:t xml:space="preserve"> - Parregullsi në procedurat e prokurimit publik</w:t>
            </w:r>
          </w:p>
        </w:tc>
        <w:tc>
          <w:tcPr>
            <w:tcW w:w="5400" w:type="dxa"/>
          </w:tcPr>
          <w:p w14:paraId="5365E6D3" w14:textId="77777777" w:rsidR="00930B7C" w:rsidRDefault="00930B7C" w:rsidP="00930B7C">
            <w:pPr>
              <w:spacing w:after="0"/>
              <w:jc w:val="both"/>
            </w:pPr>
            <w:r>
              <w:t xml:space="preserve">Në dosjen e tenderit dhe njoftimin për kontratë përcaktohen kriteret që duhet të plotësohen nga ofertuesit për të fituar kontratë publike. Me kushtet e veçanta të kontratës përcaktohet vlera (përqindja) dhe afati kohor i sigurisë së ekzekutimit të kontratës. Siguria e ekzekutimit është paraparë të mbështetë përmbushjen e kontratës dhe është parakusht për nënshkrim dhe hyrje në fuqi të kontratës. Neni 36 i LMFPP përcakton që para inicimit të një procesi të prokurimit i cili ka për qëllim të rezultojë në ngritjen e një obligimi në vitin aktual fiskal, OB i regjistron të gjitha zotimet e fondeve të ndara në SIMFK. Gjithashtu, pika 70.10 e Rregullores 001/2022 për prokurimin publik, përcakton se pas pranimit të njoftimit për emërim si menaxher i kontratës, menaxheri i kontratës duhet të kyçet në sistem të prokurimit elektronik dhe duhet të filloj me fazat e menaxhimit të kontratës. Si fazë e parë menaxheri i kontratës duhet të krijoj planin për menaxhimin e kontratës. Parregullsitë e hasura te procedura e prokurimit Ndërtimi i rrugës në Rahovec nga </w:t>
            </w:r>
            <w:r>
              <w:lastRenderedPageBreak/>
              <w:t>rreth-rrotullimi deri në dalje të rrugës për Xërxë, në vlerë 1,222,222€, janë:</w:t>
            </w:r>
          </w:p>
          <w:p w14:paraId="4152E2DF" w14:textId="77777777" w:rsidR="00930B7C" w:rsidRDefault="00930B7C" w:rsidP="00930B7C">
            <w:pPr>
              <w:spacing w:after="0"/>
              <w:jc w:val="both"/>
            </w:pPr>
            <w:r>
              <w:t>• Në njoftimin për kontratë ishin kërkuar që kopjet e noterizuara të diplomave për stafin profesional, të prezantohen nga vet inxhinierët te noteri. Noterizimi i dokumenteve nuk ishte bërë nga vetë inxhinierët para noterit, por nga përfaqësuesi i kompanisë. Gjithashtu, noterizimi i diplomës për menaxherin e projektit, nuk ishte bërë nga dokumenti origjinal, por nga kopja e zakonshme, dhe noteri në shkresën e tij konfirmon se dokumenti origjinal nuk i është prezantuar.</w:t>
            </w:r>
          </w:p>
          <w:p w14:paraId="4F3B506C" w14:textId="77777777" w:rsidR="00930B7C" w:rsidRDefault="00930B7C" w:rsidP="00930B7C">
            <w:pPr>
              <w:spacing w:after="0"/>
              <w:jc w:val="both"/>
            </w:pPr>
            <w:r>
              <w:t xml:space="preserve">• OE që ka fituar këtë tender, ka ofruar për menaxherin e projektit referencë për përvojën e punës 4 vjeçare, por në CV-në e nënshkruar nga inxhinieri, nuk prezantohet se ka përvojë pune te kjo kompani. Në njoftim për kontratë ishte kërkuar që menaxheri të ketë së paku 7 vite përvojë pune, referencat e punës nga punëdhënësit, dhe CV të jetë e nënshkruar nga inxhinieri. </w:t>
            </w:r>
          </w:p>
          <w:p w14:paraId="727A0C3F" w14:textId="77777777" w:rsidR="00930B7C" w:rsidRDefault="00930B7C" w:rsidP="00930B7C">
            <w:pPr>
              <w:spacing w:after="0"/>
              <w:jc w:val="both"/>
            </w:pPr>
            <w:r>
              <w:t xml:space="preserve">• Çertifikatat ISO 9001-2015, ISO 14001-2015, dhe ISO 45001-2018, ishin kërkuar kopje nga origjinali, ndërsa janë ofruar të noterizuara nga kopja e zakonshme. Noteri në shkresat e tij, konfirmon se dokumenti origjinal nuk i është prezantuar. </w:t>
            </w:r>
          </w:p>
          <w:p w14:paraId="34E3DD2D" w14:textId="77777777" w:rsidR="00930B7C" w:rsidRDefault="00930B7C" w:rsidP="00930B7C">
            <w:pPr>
              <w:spacing w:after="0"/>
              <w:jc w:val="both"/>
            </w:pPr>
            <w:r>
              <w:t xml:space="preserve">• Me njoftimin për kontratë është kërkuar që plani i menaxhimit të trafikut të jetë i nënshkruar nga inxhinieri i komunikacionit. Planin e menaxhimit që e ka ofruar kompania është vënë vetëm nënshkrimi, por je edhe emri dhe mbiemri për të përcaktuar se është nënshkruar nga inxhinieri i komunikacionit. Kontraktuesi nuk kishte dëshmi në ofertën e tij që ka inxhinier të komunikacionit. Parregullsitë e hasura te procedura e prokurimit Furnizim me pelet për nevojat e Komunës së Rahovecit, në vlerë 272,350€, janë: </w:t>
            </w:r>
          </w:p>
          <w:p w14:paraId="76CFAC2A" w14:textId="77777777" w:rsidR="00930B7C" w:rsidRDefault="00930B7C" w:rsidP="00930B7C">
            <w:pPr>
              <w:spacing w:after="0"/>
              <w:jc w:val="both"/>
            </w:pPr>
            <w:r>
              <w:t xml:space="preserve">• OE me çmimin më të lirë të ofertuar prej 243,020€, ishte eliminuar nga procesi i prokurimit me arsyen se kishte ofruar listën e panënshkruar dhe të pavulosur të projekteve të realizuara. Megjithatë, OE që është </w:t>
            </w:r>
            <w:r>
              <w:lastRenderedPageBreak/>
              <w:t xml:space="preserve">eleminuar kishte ngarkuar në ofertën elektronike në sistemin e-prokurimi listën e nënshkruar dhe të vulosur të projekteve të realizuara. • Fituesi i tenderit ka ofruar sigurinë e ekzekutimit të kontratës me afat të vlefshmërisë dy muaj më pak se sa është kërkuar me kushtet e veçanta të kontratës. </w:t>
            </w:r>
          </w:p>
          <w:p w14:paraId="3BDCDC2B" w14:textId="77777777" w:rsidR="00930B7C" w:rsidRDefault="00930B7C" w:rsidP="00930B7C">
            <w:pPr>
              <w:spacing w:after="0"/>
              <w:jc w:val="both"/>
            </w:pPr>
            <w:r>
              <w:t>• Nuk ishte përgatitur plani për menaxhimin e kontratës</w:t>
            </w:r>
          </w:p>
          <w:p w14:paraId="23961F62" w14:textId="77777777" w:rsidR="00930B7C" w:rsidRDefault="00930B7C" w:rsidP="00930B7C">
            <w:pPr>
              <w:spacing w:after="0"/>
              <w:jc w:val="both"/>
            </w:pPr>
            <w:r>
              <w:t xml:space="preserve">Te procedura e prokurimit Ndërtimi i sheshit qendror të qytetit, në vlerë 3,817,348€, siguria e ekzekutimit të kontratës në vlerë 381,734€ ishte bërë për afatin 365 ditë, e jo për 990 ditë, si është kërkuar me kushtet e veçanta të kontratës. </w:t>
            </w:r>
          </w:p>
          <w:p w14:paraId="6DEBA29D" w14:textId="77777777" w:rsidR="00930B7C" w:rsidRDefault="00930B7C" w:rsidP="00930B7C">
            <w:pPr>
              <w:spacing w:after="0"/>
              <w:jc w:val="both"/>
            </w:pPr>
            <w:r>
              <w:t xml:space="preserve">Te procedura e prokurimit Ndërtimi i objektit të SH.F.M.U "Hamëz Thaqi" në Xërxë, në vlerë 1,575,679€, siguria e ekzekutimit në vlerë 157,567€ ishte bërë për afatin 365 ditë, e jo për 510 ditë, si është kërkuar me kushtet e veçanta të kontratës. </w:t>
            </w:r>
          </w:p>
          <w:p w14:paraId="02EAB667" w14:textId="77777777" w:rsidR="00930B7C" w:rsidRDefault="00930B7C" w:rsidP="00930B7C">
            <w:pPr>
              <w:spacing w:after="0"/>
              <w:jc w:val="both"/>
            </w:pPr>
            <w:r>
              <w:t xml:space="preserve">Për kontratën publike Furnizimi i shkollave me teknologji informative - tabela digjitale, në vlerë 54,700€, zotimi i mjeteve në SIMFK ishte bërë 2 muaj pas nënshkrimit të kontratës, dhe se nuk ishte përgatitur plani për menaxhimin e kontratës. </w:t>
            </w:r>
          </w:p>
          <w:p w14:paraId="04718576" w14:textId="03CA4CA3" w:rsidR="00930B7C" w:rsidRPr="00EC6E6F" w:rsidRDefault="00930B7C" w:rsidP="00930B7C">
            <w:pPr>
              <w:spacing w:after="0"/>
              <w:jc w:val="both"/>
              <w:rPr>
                <w:rFonts w:cstheme="minorHAnsi"/>
              </w:rPr>
            </w:pPr>
            <w:r>
              <w:t>Kjo ka ndodhur si rezultat i mbikëqyrjes dhe kontrolleve të pamjaftueshme në procedurat e prokurimit, në procesin e vlerësimit të tenderëve, dhe pakujdesia e menaxherëve të kontratës.</w:t>
            </w:r>
          </w:p>
        </w:tc>
        <w:tc>
          <w:tcPr>
            <w:tcW w:w="3060" w:type="dxa"/>
          </w:tcPr>
          <w:p w14:paraId="1219BE96" w14:textId="53AB58FB" w:rsidR="00930B7C" w:rsidRPr="00EC6E6F" w:rsidRDefault="00930B7C" w:rsidP="00930B7C">
            <w:pPr>
              <w:spacing w:after="0"/>
              <w:jc w:val="both"/>
              <w:rPr>
                <w:rFonts w:cstheme="minorHAnsi"/>
              </w:rPr>
            </w:pPr>
            <w:r>
              <w:lastRenderedPageBreak/>
              <w:t>Kryetari duhet të sigurojë se vlerësimi i tenderëve nga komisionet e vlerësimit bëhet në pajtim me kërkesat e përcaktuara me njoftimin për kontratë dhe dosjen e tenderit. Kontratat publike të mos nënshkruhen pa zotim paraprak të mjeteve në SIMFK dhe pa sigurim të ekzekutimit në afatin e përcaktuar. Planet e menaxhimi të përgatiten menjëherë pas nënshkrimit të kontratës</w:t>
            </w:r>
          </w:p>
        </w:tc>
        <w:tc>
          <w:tcPr>
            <w:tcW w:w="1980" w:type="dxa"/>
          </w:tcPr>
          <w:p w14:paraId="04B23A68" w14:textId="6738E08A" w:rsidR="00930B7C" w:rsidRDefault="00FA77F2" w:rsidP="00930B7C">
            <w:pPr>
              <w:spacing w:after="0"/>
              <w:rPr>
                <w:rFonts w:cstheme="minorHAnsi"/>
                <w:i/>
              </w:rPr>
            </w:pPr>
            <w:r>
              <w:rPr>
                <w:rFonts w:cstheme="minorHAnsi"/>
                <w:i/>
              </w:rPr>
              <w:t>Ekzaminimi dhe vlerësimi i tenderëve është bërë sipas kërkesave te dosjes se tenderit.</w:t>
            </w:r>
          </w:p>
          <w:p w14:paraId="7736E7B3" w14:textId="77777777" w:rsidR="00FA77F2" w:rsidRPr="00E247F3" w:rsidRDefault="00FA77F2" w:rsidP="00930B7C">
            <w:pPr>
              <w:spacing w:after="0"/>
              <w:rPr>
                <w:rFonts w:cstheme="minorHAnsi"/>
                <w:i/>
              </w:rPr>
            </w:pPr>
          </w:p>
          <w:p w14:paraId="447769DE" w14:textId="3F8E9770" w:rsidR="00930B7C" w:rsidRPr="00E247F3" w:rsidRDefault="00D0078A" w:rsidP="00930B7C">
            <w:pPr>
              <w:spacing w:after="0"/>
              <w:rPr>
                <w:rFonts w:cstheme="minorHAnsi"/>
                <w:i/>
              </w:rPr>
            </w:pPr>
            <w:r w:rsidRPr="00E247F3">
              <w:rPr>
                <w:rFonts w:cstheme="minorHAnsi"/>
                <w:i/>
              </w:rPr>
              <w:t>Sigurimi i ekzekutimit do të zbatohet sipas dosjes së tenderit pë</w:t>
            </w:r>
            <w:r w:rsidR="00930B7C" w:rsidRPr="00E247F3">
              <w:rPr>
                <w:rFonts w:cstheme="minorHAnsi"/>
                <w:i/>
              </w:rPr>
              <w:t>r vitin 2023</w:t>
            </w:r>
          </w:p>
          <w:p w14:paraId="34254B6E" w14:textId="77777777" w:rsidR="00930B7C" w:rsidRPr="00E247F3" w:rsidRDefault="00930B7C" w:rsidP="00930B7C">
            <w:pPr>
              <w:spacing w:after="0"/>
              <w:rPr>
                <w:rFonts w:cstheme="minorHAnsi"/>
                <w:i/>
              </w:rPr>
            </w:pPr>
          </w:p>
          <w:p w14:paraId="00B1353F" w14:textId="09C5013D" w:rsidR="00930B7C" w:rsidRPr="00E247F3" w:rsidRDefault="00D0078A" w:rsidP="00FA77F2">
            <w:pPr>
              <w:spacing w:after="0"/>
              <w:rPr>
                <w:rFonts w:cstheme="minorHAnsi"/>
                <w:i/>
              </w:rPr>
            </w:pPr>
            <w:r w:rsidRPr="00E247F3">
              <w:rPr>
                <w:rFonts w:cstheme="minorHAnsi"/>
                <w:i/>
              </w:rPr>
              <w:t>Planet e Menaxhimit të kontratave</w:t>
            </w:r>
            <w:r w:rsidR="00FA77F2">
              <w:rPr>
                <w:rFonts w:cstheme="minorHAnsi"/>
                <w:i/>
              </w:rPr>
              <w:t xml:space="preserve"> janë përgatitur </w:t>
            </w:r>
            <w:r w:rsidRPr="00E247F3">
              <w:rPr>
                <w:rFonts w:cstheme="minorHAnsi"/>
                <w:i/>
              </w:rPr>
              <w:t xml:space="preserve"> me kohë</w:t>
            </w:r>
            <w:r w:rsidR="00930B7C" w:rsidRPr="00E247F3">
              <w:rPr>
                <w:rFonts w:cstheme="minorHAnsi"/>
                <w:i/>
              </w:rPr>
              <w:t xml:space="preserve"> nga Menaxher</w:t>
            </w:r>
            <w:r w:rsidRPr="00E247F3">
              <w:rPr>
                <w:rFonts w:cstheme="minorHAnsi"/>
                <w:i/>
              </w:rPr>
              <w:t>ët</w:t>
            </w:r>
            <w:r w:rsidR="00930B7C" w:rsidRPr="00E247F3">
              <w:rPr>
                <w:rFonts w:cstheme="minorHAnsi"/>
                <w:i/>
              </w:rPr>
              <w:t xml:space="preserve"> e Kontratave</w:t>
            </w:r>
            <w:r w:rsidR="00FA77F2">
              <w:rPr>
                <w:rFonts w:cstheme="minorHAnsi"/>
                <w:i/>
              </w:rPr>
              <w:t>.</w:t>
            </w:r>
          </w:p>
        </w:tc>
        <w:tc>
          <w:tcPr>
            <w:tcW w:w="1350" w:type="dxa"/>
          </w:tcPr>
          <w:p w14:paraId="29546092" w14:textId="4026E538" w:rsidR="00930B7C" w:rsidRPr="00EC6E6F" w:rsidRDefault="00930B7C" w:rsidP="00930B7C">
            <w:pPr>
              <w:spacing w:after="0"/>
              <w:jc w:val="center"/>
              <w:rPr>
                <w:rFonts w:cstheme="minorHAnsi"/>
              </w:rPr>
            </w:pPr>
            <w:r>
              <w:rPr>
                <w:rFonts w:cstheme="minorHAnsi"/>
              </w:rPr>
              <w:t>Zyra e prokurimit dhe drejtoritë përkatëse, menaxheret e kontratave</w:t>
            </w:r>
            <w:r w:rsidR="00FA77F2">
              <w:rPr>
                <w:rFonts w:cstheme="minorHAnsi"/>
              </w:rPr>
              <w:t>.</w:t>
            </w:r>
          </w:p>
        </w:tc>
        <w:tc>
          <w:tcPr>
            <w:tcW w:w="810" w:type="dxa"/>
          </w:tcPr>
          <w:p w14:paraId="25097ABD" w14:textId="5A7C0451" w:rsidR="00930B7C" w:rsidRPr="00912F16" w:rsidRDefault="00EB4867" w:rsidP="00930B7C">
            <w:pPr>
              <w:spacing w:after="0"/>
              <w:jc w:val="center"/>
              <w:rPr>
                <w:sz w:val="20"/>
                <w:szCs w:val="20"/>
              </w:rPr>
            </w:pPr>
            <w:r>
              <w:rPr>
                <w:rFonts w:cstheme="minorHAnsi"/>
              </w:rPr>
              <w:t>Konsiderojmë se ky rekomandim është zbatuar gjatë vitit 2023.</w:t>
            </w:r>
          </w:p>
        </w:tc>
        <w:tc>
          <w:tcPr>
            <w:tcW w:w="905" w:type="dxa"/>
          </w:tcPr>
          <w:p w14:paraId="77B65E64" w14:textId="77777777" w:rsidR="00930B7C" w:rsidRPr="00912F16" w:rsidRDefault="00930B7C" w:rsidP="00930B7C">
            <w:pPr>
              <w:spacing w:after="0"/>
              <w:rPr>
                <w:sz w:val="20"/>
                <w:szCs w:val="20"/>
              </w:rPr>
            </w:pPr>
          </w:p>
        </w:tc>
      </w:tr>
      <w:tr w:rsidR="00930B7C" w:rsidRPr="00912F16" w14:paraId="44B75EDE" w14:textId="77777777" w:rsidTr="00F23493">
        <w:trPr>
          <w:trHeight w:val="33"/>
          <w:jc w:val="center"/>
        </w:trPr>
        <w:tc>
          <w:tcPr>
            <w:tcW w:w="535" w:type="dxa"/>
          </w:tcPr>
          <w:p w14:paraId="7D6DFD8C" w14:textId="162CAA51" w:rsidR="00930B7C" w:rsidRPr="00242418" w:rsidRDefault="00930B7C" w:rsidP="00930B7C">
            <w:pPr>
              <w:spacing w:after="0"/>
              <w:rPr>
                <w:rFonts w:ascii="Book Antiqua" w:hAnsi="Book Antiqua"/>
                <w:b/>
                <w:sz w:val="24"/>
                <w:szCs w:val="24"/>
              </w:rPr>
            </w:pPr>
            <w:r w:rsidRPr="00242418">
              <w:rPr>
                <w:rFonts w:ascii="Book Antiqua" w:hAnsi="Book Antiqua"/>
                <w:b/>
                <w:sz w:val="24"/>
                <w:szCs w:val="24"/>
              </w:rPr>
              <w:lastRenderedPageBreak/>
              <w:t>2.</w:t>
            </w:r>
          </w:p>
        </w:tc>
        <w:tc>
          <w:tcPr>
            <w:tcW w:w="1260" w:type="dxa"/>
          </w:tcPr>
          <w:p w14:paraId="7FA4E269" w14:textId="62160EDD" w:rsidR="00930B7C" w:rsidRPr="00912F16" w:rsidRDefault="00930B7C" w:rsidP="00930B7C">
            <w:pPr>
              <w:spacing w:after="0"/>
              <w:rPr>
                <w:rFonts w:ascii="Book Antiqua" w:hAnsi="Book Antiqua"/>
                <w:sz w:val="20"/>
                <w:szCs w:val="20"/>
                <w:lang w:val="sr-Latn-RS"/>
              </w:rPr>
            </w:pPr>
            <w:r w:rsidRPr="00737B8C">
              <w:rPr>
                <w:b/>
              </w:rPr>
              <w:t>Çështja A2</w:t>
            </w:r>
            <w:r>
              <w:t xml:space="preserve"> - Kosto shtesë për shkak të pagesave përmes vendimeve gjyqësore / përmbarimore</w:t>
            </w:r>
          </w:p>
        </w:tc>
        <w:tc>
          <w:tcPr>
            <w:tcW w:w="5400" w:type="dxa"/>
          </w:tcPr>
          <w:p w14:paraId="2659A8BB" w14:textId="77777777" w:rsidR="00930B7C" w:rsidRDefault="00930B7C" w:rsidP="00930B7C">
            <w:pPr>
              <w:spacing w:after="0"/>
              <w:jc w:val="both"/>
            </w:pPr>
            <w:r>
              <w:t xml:space="preserve">Neni 40.1 i LMFPP, përcakton që kur një gjykatë nxjerr urdhër ose vendim me të cilin kërkohet nga një autoritet publik që të paguajë çfarëdo lloji të kompensimit monetar ndaj një personi dhe urdhri ose vendimi nuk i nënshtrohet të drejtës së ankesës nga autoriteti publik ose autoriteti publik nuk e ka ushtruar këtë të drejtë me kohë, gjykata menjëherë i dërgon një kopje të urdhrit ose vendimit Ministrisë së Drejtësisë dhe Ministrisë së Financave. </w:t>
            </w:r>
          </w:p>
          <w:p w14:paraId="0463BACC" w14:textId="2F176DC7" w:rsidR="00930B7C" w:rsidRDefault="00930B7C" w:rsidP="00930B7C">
            <w:pPr>
              <w:spacing w:after="0"/>
              <w:jc w:val="both"/>
            </w:pPr>
            <w:r>
              <w:t xml:space="preserve">Si pasojë e pagesave nga vendimet gjyqësore / përmbarimore, Komuna e Rahovecit ka paguar në emër të kamatave dhe procedurave të vlerën prej 71,479€. Në </w:t>
            </w:r>
            <w:r>
              <w:lastRenderedPageBreak/>
              <w:t>total pagesat përfshirë borxhin kryesor dhe kamatat ishin 304,560€. Nga kjo shumë, për paga e mëditje ishin paguar 171,928€, për mallra e shërbime 15,188€, dhe për investime kapitale 117,442€.</w:t>
            </w:r>
          </w:p>
          <w:p w14:paraId="057C954B" w14:textId="0101E321" w:rsidR="00930B7C" w:rsidRPr="00EC6E6F" w:rsidRDefault="00930B7C" w:rsidP="00930B7C">
            <w:pPr>
              <w:spacing w:after="0"/>
              <w:jc w:val="both"/>
              <w:rPr>
                <w:rFonts w:cstheme="minorHAnsi"/>
              </w:rPr>
            </w:pPr>
            <w:r>
              <w:t>Kjo ka ndodhur për shkak të hyrjes në obligime pa zotim paraprak të mjeteve, dobësive në menaxhim të kontratave, paqartësisë ligjore për pagesën e shujtave dhe pagave jubilare, etj.</w:t>
            </w:r>
          </w:p>
        </w:tc>
        <w:tc>
          <w:tcPr>
            <w:tcW w:w="3060" w:type="dxa"/>
          </w:tcPr>
          <w:p w14:paraId="1778079C" w14:textId="7157AB5D" w:rsidR="00930B7C" w:rsidRPr="00EC6E6F" w:rsidRDefault="00930B7C" w:rsidP="00930B7C">
            <w:pPr>
              <w:spacing w:after="0"/>
              <w:jc w:val="both"/>
              <w:rPr>
                <w:rFonts w:cstheme="minorHAnsi"/>
              </w:rPr>
            </w:pPr>
            <w:r>
              <w:lastRenderedPageBreak/>
              <w:t xml:space="preserve">Kryetari duhet të sigurojë se janë analizuar shkaqet që kanë rezultuar me mos pagesë me kohë të obligimeve ndaj kontraktuesve, e të cilat kanë rezultuar me ngritjen e padive dhe procedura gjyqësore / përmbarimore ndaj komunës. Para hyrjes në obligime të sigurohen fondet e nevojshme, si dhe të forcohen kontrollet në </w:t>
            </w:r>
            <w:r>
              <w:lastRenderedPageBreak/>
              <w:t>mbikëqyrjen e realizimit të projekteve dhe në pagesën me kohë të obligimeve.</w:t>
            </w:r>
          </w:p>
        </w:tc>
        <w:tc>
          <w:tcPr>
            <w:tcW w:w="1980" w:type="dxa"/>
          </w:tcPr>
          <w:p w14:paraId="171534E4" w14:textId="4A900E10" w:rsidR="00FA77F2" w:rsidRPr="00EC6E6F" w:rsidRDefault="00FA77F2" w:rsidP="00FA77F2">
            <w:pPr>
              <w:spacing w:after="0"/>
              <w:rPr>
                <w:rFonts w:cstheme="minorHAnsi"/>
              </w:rPr>
            </w:pPr>
            <w:r>
              <w:rPr>
                <w:rFonts w:cstheme="minorHAnsi"/>
              </w:rPr>
              <w:lastRenderedPageBreak/>
              <w:t xml:space="preserve">Rekomandimi ne fjale nga ana e Komunës se Rahovecit është zbatuar. Neve ne rastet kur  ka pyetur Thesari se nga cila kategori ti ekzekutojnë Vendimet Gjyqësore, ne ju </w:t>
            </w:r>
            <w:r>
              <w:rPr>
                <w:rFonts w:cstheme="minorHAnsi"/>
              </w:rPr>
              <w:lastRenderedPageBreak/>
              <w:t>kemi përgjigjur varësisht se cilës kategori ekonomike i përket shpenzimi. Ne disa raste kur Thesari ka ekzekutuar Vendimet Gjyqësore pa na pyetur neve dhe ne kategori te gabuar ekonomike</w:t>
            </w:r>
            <w:r w:rsidR="00EB4867">
              <w:rPr>
                <w:rFonts w:cstheme="minorHAnsi"/>
              </w:rPr>
              <w:t>,</w:t>
            </w:r>
            <w:r>
              <w:rPr>
                <w:rFonts w:cstheme="minorHAnsi"/>
              </w:rPr>
              <w:t xml:space="preserve"> ne si Komune kemi bere kërkesë ne Thesar qe ky shpenzim te korrigjohet dhe te behet ekzekutimi ne kategorinë e duhur ekonomike. </w:t>
            </w:r>
          </w:p>
        </w:tc>
        <w:tc>
          <w:tcPr>
            <w:tcW w:w="1350" w:type="dxa"/>
          </w:tcPr>
          <w:p w14:paraId="239AD0FE" w14:textId="758834E6" w:rsidR="00930B7C" w:rsidRPr="00EC6E6F" w:rsidRDefault="00930B7C" w:rsidP="00930B7C">
            <w:pPr>
              <w:spacing w:after="0"/>
              <w:jc w:val="center"/>
              <w:rPr>
                <w:rFonts w:cstheme="minorHAnsi"/>
              </w:rPr>
            </w:pPr>
            <w:r>
              <w:rPr>
                <w:rFonts w:cstheme="minorHAnsi"/>
              </w:rPr>
              <w:lastRenderedPageBreak/>
              <w:t>Drejtoritë përkatëse</w:t>
            </w:r>
          </w:p>
        </w:tc>
        <w:tc>
          <w:tcPr>
            <w:tcW w:w="810" w:type="dxa"/>
          </w:tcPr>
          <w:p w14:paraId="055062AA" w14:textId="4A352996" w:rsidR="00930B7C" w:rsidRPr="00912F16" w:rsidRDefault="00930B7C" w:rsidP="00930B7C">
            <w:pPr>
              <w:spacing w:after="0"/>
              <w:rPr>
                <w:sz w:val="20"/>
                <w:szCs w:val="20"/>
              </w:rPr>
            </w:pPr>
            <w:r>
              <w:rPr>
                <w:sz w:val="20"/>
                <w:szCs w:val="20"/>
              </w:rPr>
              <w:t>2023</w:t>
            </w:r>
          </w:p>
        </w:tc>
        <w:tc>
          <w:tcPr>
            <w:tcW w:w="905" w:type="dxa"/>
          </w:tcPr>
          <w:p w14:paraId="77E5C4AF" w14:textId="77777777" w:rsidR="00930B7C" w:rsidRPr="00344F9F" w:rsidRDefault="00930B7C" w:rsidP="00930B7C">
            <w:pPr>
              <w:spacing w:after="0"/>
              <w:rPr>
                <w:rFonts w:ascii="Book Antiqua" w:hAnsi="Book Antiqua" w:cs="Book Antiqua"/>
                <w:color w:val="000000"/>
                <w:sz w:val="20"/>
                <w:szCs w:val="20"/>
                <w:lang w:val="sr-Latn-RS"/>
              </w:rPr>
            </w:pPr>
          </w:p>
        </w:tc>
      </w:tr>
      <w:tr w:rsidR="00930B7C" w:rsidRPr="00912F16" w14:paraId="6E9A94E8" w14:textId="77777777" w:rsidTr="00F23493">
        <w:trPr>
          <w:trHeight w:val="33"/>
          <w:jc w:val="center"/>
        </w:trPr>
        <w:tc>
          <w:tcPr>
            <w:tcW w:w="535" w:type="dxa"/>
          </w:tcPr>
          <w:p w14:paraId="2165B802" w14:textId="10BB77B3" w:rsidR="00930B7C" w:rsidRDefault="00930B7C" w:rsidP="00930B7C">
            <w:pPr>
              <w:spacing w:after="0"/>
              <w:rPr>
                <w:rFonts w:ascii="Book Antiqua" w:hAnsi="Book Antiqua"/>
                <w:sz w:val="24"/>
                <w:szCs w:val="24"/>
              </w:rPr>
            </w:pPr>
            <w:r>
              <w:rPr>
                <w:rFonts w:ascii="Book Antiqua" w:hAnsi="Book Antiqua"/>
                <w:sz w:val="24"/>
                <w:szCs w:val="24"/>
              </w:rPr>
              <w:t>3.</w:t>
            </w:r>
          </w:p>
          <w:p w14:paraId="5650E131" w14:textId="77777777" w:rsidR="00930B7C" w:rsidRDefault="00930B7C" w:rsidP="00930B7C">
            <w:pPr>
              <w:spacing w:after="0"/>
              <w:rPr>
                <w:rFonts w:ascii="Book Antiqua" w:hAnsi="Book Antiqua"/>
                <w:sz w:val="24"/>
                <w:szCs w:val="24"/>
              </w:rPr>
            </w:pPr>
          </w:p>
          <w:p w14:paraId="77DC050A" w14:textId="77777777" w:rsidR="00930B7C" w:rsidRDefault="00930B7C" w:rsidP="00930B7C">
            <w:pPr>
              <w:spacing w:after="0"/>
              <w:rPr>
                <w:rFonts w:ascii="Book Antiqua" w:hAnsi="Book Antiqua"/>
                <w:sz w:val="24"/>
                <w:szCs w:val="24"/>
              </w:rPr>
            </w:pPr>
          </w:p>
          <w:p w14:paraId="4EBA5495" w14:textId="77777777" w:rsidR="00930B7C" w:rsidRDefault="00930B7C" w:rsidP="00930B7C">
            <w:pPr>
              <w:spacing w:after="0"/>
              <w:rPr>
                <w:rFonts w:ascii="Book Antiqua" w:hAnsi="Book Antiqua"/>
                <w:sz w:val="24"/>
                <w:szCs w:val="24"/>
              </w:rPr>
            </w:pPr>
          </w:p>
          <w:p w14:paraId="5D4BAD05" w14:textId="77777777" w:rsidR="00930B7C" w:rsidRDefault="00930B7C" w:rsidP="00930B7C">
            <w:pPr>
              <w:spacing w:after="0"/>
              <w:rPr>
                <w:rFonts w:ascii="Book Antiqua" w:hAnsi="Book Antiqua"/>
                <w:sz w:val="24"/>
                <w:szCs w:val="24"/>
              </w:rPr>
            </w:pPr>
          </w:p>
          <w:p w14:paraId="3B39914D" w14:textId="77777777" w:rsidR="00930B7C" w:rsidRDefault="00930B7C" w:rsidP="00930B7C">
            <w:pPr>
              <w:spacing w:after="0"/>
              <w:rPr>
                <w:rFonts w:ascii="Book Antiqua" w:hAnsi="Book Antiqua"/>
                <w:sz w:val="24"/>
                <w:szCs w:val="24"/>
              </w:rPr>
            </w:pPr>
          </w:p>
          <w:p w14:paraId="2A8813CF" w14:textId="77777777" w:rsidR="00930B7C" w:rsidRDefault="00930B7C" w:rsidP="00930B7C">
            <w:pPr>
              <w:spacing w:after="0"/>
              <w:rPr>
                <w:rFonts w:ascii="Book Antiqua" w:hAnsi="Book Antiqua"/>
                <w:sz w:val="24"/>
                <w:szCs w:val="24"/>
              </w:rPr>
            </w:pPr>
          </w:p>
          <w:p w14:paraId="416CC810" w14:textId="77777777" w:rsidR="00930B7C" w:rsidRDefault="00930B7C" w:rsidP="00930B7C">
            <w:pPr>
              <w:spacing w:after="0"/>
              <w:rPr>
                <w:rFonts w:ascii="Book Antiqua" w:hAnsi="Book Antiqua"/>
                <w:sz w:val="24"/>
                <w:szCs w:val="24"/>
              </w:rPr>
            </w:pPr>
          </w:p>
          <w:p w14:paraId="0543DBD1" w14:textId="77777777" w:rsidR="00930B7C" w:rsidRDefault="00930B7C" w:rsidP="00930B7C">
            <w:pPr>
              <w:spacing w:after="0"/>
              <w:rPr>
                <w:rFonts w:ascii="Book Antiqua" w:hAnsi="Book Antiqua"/>
                <w:sz w:val="24"/>
                <w:szCs w:val="24"/>
              </w:rPr>
            </w:pPr>
          </w:p>
          <w:p w14:paraId="175497C7" w14:textId="77777777" w:rsidR="00930B7C" w:rsidRDefault="00930B7C" w:rsidP="00930B7C">
            <w:pPr>
              <w:spacing w:after="0"/>
              <w:rPr>
                <w:rFonts w:ascii="Book Antiqua" w:hAnsi="Book Antiqua"/>
                <w:sz w:val="24"/>
                <w:szCs w:val="24"/>
              </w:rPr>
            </w:pPr>
          </w:p>
          <w:p w14:paraId="234F5F46" w14:textId="77777777" w:rsidR="00930B7C" w:rsidRDefault="00930B7C" w:rsidP="00930B7C">
            <w:pPr>
              <w:spacing w:after="0"/>
              <w:rPr>
                <w:rFonts w:ascii="Book Antiqua" w:hAnsi="Book Antiqua"/>
                <w:sz w:val="24"/>
                <w:szCs w:val="24"/>
              </w:rPr>
            </w:pPr>
          </w:p>
        </w:tc>
        <w:tc>
          <w:tcPr>
            <w:tcW w:w="1260" w:type="dxa"/>
          </w:tcPr>
          <w:p w14:paraId="3706B9D3" w14:textId="0393D135" w:rsidR="00930B7C" w:rsidRDefault="00930B7C" w:rsidP="00930B7C">
            <w:pPr>
              <w:spacing w:after="0"/>
            </w:pPr>
            <w:r w:rsidRPr="00737B8C">
              <w:rPr>
                <w:b/>
              </w:rPr>
              <w:t>Çështja B1</w:t>
            </w:r>
            <w:r>
              <w:t xml:space="preserve"> - Urdhërblerjet pas pranimit të faturës apo pranimit te furnizimeve dhe punëve</w:t>
            </w:r>
          </w:p>
        </w:tc>
        <w:tc>
          <w:tcPr>
            <w:tcW w:w="5400" w:type="dxa"/>
          </w:tcPr>
          <w:p w14:paraId="5ABDB6E2" w14:textId="77777777" w:rsidR="00930B7C" w:rsidRDefault="00930B7C" w:rsidP="00930B7C">
            <w:pPr>
              <w:spacing w:after="0"/>
              <w:jc w:val="both"/>
            </w:pPr>
            <w:r>
              <w:t xml:space="preserve">Neni 22 i Rregullës Financiare Nr. 01/2013/MF-Shpenzimi i parasë publike, përcakton procedurat e përgjithshme për procedimin e pagesave. Nga kjo, kërkohet që zotimi dhe urdhërblerja ti paraprijë pranimit të punëve, mallrave dhe shërbimeve. </w:t>
            </w:r>
          </w:p>
          <w:p w14:paraId="41ED8865" w14:textId="076259A7" w:rsidR="00930B7C" w:rsidRPr="006B2EF8" w:rsidRDefault="00930B7C" w:rsidP="00930B7C">
            <w:pPr>
              <w:spacing w:after="0"/>
              <w:jc w:val="both"/>
              <w:rPr>
                <w:rFonts w:cstheme="minorHAnsi"/>
              </w:rPr>
            </w:pPr>
            <w:r>
              <w:t>Në 8 pagesa për investime kapitale në vlerë totale 316,393€, dhe 11 pagesa për mallra dhe shërbime në vlerë 111,365€, zotimet dhe urdhërblerjet ishin bërë pas pranimit të faturave apo pas pranimit të furnizimeve dhe punimeve. Vonesat në përgatitjen e urdhërblerjeve nga data e pranimit të faturave ishin nga 14 ditë deri 514 ditë. Kjo ka ndodhur për shkak të kontrolleve të pamjaftueshme në përgatitjen e urdhërblerjeve me kohë në SIMFK.</w:t>
            </w:r>
          </w:p>
        </w:tc>
        <w:tc>
          <w:tcPr>
            <w:tcW w:w="3060" w:type="dxa"/>
          </w:tcPr>
          <w:p w14:paraId="5096662E" w14:textId="1C6B5DDE" w:rsidR="00930B7C" w:rsidRPr="00EC6E6F" w:rsidRDefault="00930B7C" w:rsidP="00930B7C">
            <w:pPr>
              <w:spacing w:after="0"/>
              <w:jc w:val="both"/>
              <w:rPr>
                <w:rFonts w:cstheme="minorHAnsi"/>
              </w:rPr>
            </w:pPr>
            <w:r>
              <w:t>Kryetari duhet të sigurojë që procesit të blerjeve apo porosisë për punë, furnizime dhe shërbime dhe punë të kontraktuara ti paraprijë përgatitja e zotimit dhe aprovimi i urdhërblerjeve në SIMFK.</w:t>
            </w:r>
          </w:p>
        </w:tc>
        <w:tc>
          <w:tcPr>
            <w:tcW w:w="1980" w:type="dxa"/>
          </w:tcPr>
          <w:p w14:paraId="34DAC43C" w14:textId="5B3BD5B5" w:rsidR="00930B7C" w:rsidRPr="00EC6E6F" w:rsidRDefault="00930B7C" w:rsidP="00930B7C">
            <w:pPr>
              <w:spacing w:after="0"/>
              <w:jc w:val="center"/>
              <w:rPr>
                <w:rFonts w:cstheme="minorHAnsi"/>
              </w:rPr>
            </w:pPr>
            <w:r>
              <w:rPr>
                <w:rFonts w:cstheme="minorHAnsi"/>
              </w:rPr>
              <w:t>Konsiderojmë se ky rekomandim</w:t>
            </w:r>
            <w:r w:rsidR="00FA77F2">
              <w:rPr>
                <w:rFonts w:cstheme="minorHAnsi"/>
              </w:rPr>
              <w:t xml:space="preserve"> </w:t>
            </w:r>
            <w:r w:rsidR="00EB4867">
              <w:rPr>
                <w:rFonts w:cstheme="minorHAnsi"/>
              </w:rPr>
              <w:t>është</w:t>
            </w:r>
            <w:r w:rsidR="00FA77F2">
              <w:rPr>
                <w:rFonts w:cstheme="minorHAnsi"/>
              </w:rPr>
              <w:t xml:space="preserve"> zbatuar, me përjashtim me rastet kur obligimet janë bartur nga viti paraprak, </w:t>
            </w:r>
            <w:r w:rsidR="00EB4867">
              <w:rPr>
                <w:rFonts w:cstheme="minorHAnsi"/>
              </w:rPr>
              <w:t>për</w:t>
            </w:r>
            <w:r w:rsidR="00FA77F2">
              <w:rPr>
                <w:rFonts w:cstheme="minorHAnsi"/>
              </w:rPr>
              <w:t xml:space="preserve"> vitin e </w:t>
            </w:r>
            <w:r w:rsidR="00EB4867">
              <w:rPr>
                <w:rFonts w:cstheme="minorHAnsi"/>
              </w:rPr>
              <w:t>ardhshëm</w:t>
            </w:r>
            <w:r w:rsidR="00FA77F2">
              <w:rPr>
                <w:rFonts w:cstheme="minorHAnsi"/>
              </w:rPr>
              <w:t xml:space="preserve"> fiskal atëherë duhet nxjerre Zotim dhe </w:t>
            </w:r>
            <w:r w:rsidR="00EB4867">
              <w:rPr>
                <w:rFonts w:cstheme="minorHAnsi"/>
              </w:rPr>
              <w:t>Urdhër blerje</w:t>
            </w:r>
            <w:r w:rsidR="00FA77F2">
              <w:rPr>
                <w:rFonts w:cstheme="minorHAnsi"/>
              </w:rPr>
              <w:t xml:space="preserve"> te re. </w:t>
            </w:r>
            <w:r w:rsidR="00EB4867">
              <w:rPr>
                <w:rFonts w:cstheme="minorHAnsi"/>
              </w:rPr>
              <w:t>Ndërsa</w:t>
            </w:r>
            <w:r w:rsidR="00FA77F2">
              <w:rPr>
                <w:rFonts w:cstheme="minorHAnsi"/>
              </w:rPr>
              <w:t xml:space="preserve"> </w:t>
            </w:r>
            <w:r w:rsidR="00EB4867">
              <w:rPr>
                <w:rFonts w:cstheme="minorHAnsi"/>
              </w:rPr>
              <w:t>për</w:t>
            </w:r>
            <w:r w:rsidR="00FA77F2">
              <w:rPr>
                <w:rFonts w:cstheme="minorHAnsi"/>
              </w:rPr>
              <w:t xml:space="preserve"> </w:t>
            </w:r>
            <w:r w:rsidR="00EB4867">
              <w:rPr>
                <w:rFonts w:cstheme="minorHAnsi"/>
              </w:rPr>
              <w:t>shpenzimet</w:t>
            </w:r>
            <w:r w:rsidR="00FA77F2">
              <w:rPr>
                <w:rFonts w:cstheme="minorHAnsi"/>
              </w:rPr>
              <w:t xml:space="preserve"> te cilat janë bere gjate vitit</w:t>
            </w:r>
            <w:r w:rsidR="00EB4867">
              <w:rPr>
                <w:rFonts w:cstheme="minorHAnsi"/>
              </w:rPr>
              <w:t>, zotimi është bere para faturës.</w:t>
            </w:r>
          </w:p>
        </w:tc>
        <w:tc>
          <w:tcPr>
            <w:tcW w:w="1350" w:type="dxa"/>
          </w:tcPr>
          <w:p w14:paraId="1964BF70" w14:textId="6672B0C7" w:rsidR="00930B7C" w:rsidRPr="00EC6E6F" w:rsidRDefault="00930B7C" w:rsidP="00930B7C">
            <w:pPr>
              <w:jc w:val="center"/>
              <w:rPr>
                <w:rFonts w:cstheme="minorHAnsi"/>
              </w:rPr>
            </w:pPr>
            <w:r>
              <w:rPr>
                <w:rFonts w:cstheme="minorHAnsi"/>
              </w:rPr>
              <w:t>Drejtoria përkatese dhe Zyra e Prokurimit.</w:t>
            </w:r>
          </w:p>
          <w:p w14:paraId="6AA4BCCB" w14:textId="77777777" w:rsidR="00930B7C" w:rsidRPr="00EC6E6F" w:rsidRDefault="00930B7C" w:rsidP="00930B7C">
            <w:pPr>
              <w:spacing w:after="0"/>
              <w:jc w:val="center"/>
              <w:rPr>
                <w:rFonts w:cstheme="minorHAnsi"/>
              </w:rPr>
            </w:pPr>
          </w:p>
        </w:tc>
        <w:tc>
          <w:tcPr>
            <w:tcW w:w="810" w:type="dxa"/>
          </w:tcPr>
          <w:p w14:paraId="4CEBAAC3" w14:textId="683896B2" w:rsidR="00930B7C" w:rsidRPr="00912F16" w:rsidRDefault="00930B7C" w:rsidP="00930B7C">
            <w:pPr>
              <w:spacing w:after="0"/>
              <w:rPr>
                <w:sz w:val="20"/>
                <w:szCs w:val="20"/>
              </w:rPr>
            </w:pPr>
            <w:r>
              <w:rPr>
                <w:sz w:val="20"/>
                <w:szCs w:val="20"/>
              </w:rPr>
              <w:t>2023</w:t>
            </w:r>
          </w:p>
        </w:tc>
        <w:tc>
          <w:tcPr>
            <w:tcW w:w="905" w:type="dxa"/>
          </w:tcPr>
          <w:p w14:paraId="0802CDB7" w14:textId="77777777" w:rsidR="00930B7C" w:rsidRPr="00344F9F" w:rsidRDefault="00930B7C" w:rsidP="00930B7C">
            <w:pPr>
              <w:spacing w:after="0"/>
              <w:rPr>
                <w:rFonts w:ascii="Book Antiqua" w:hAnsi="Book Antiqua" w:cs="Book Antiqua"/>
                <w:color w:val="000000"/>
                <w:sz w:val="20"/>
                <w:szCs w:val="20"/>
                <w:lang w:val="sr-Latn-RS"/>
              </w:rPr>
            </w:pPr>
          </w:p>
        </w:tc>
      </w:tr>
      <w:tr w:rsidR="00930B7C" w:rsidRPr="00912F16" w14:paraId="4893D9D0" w14:textId="77777777" w:rsidTr="00F23493">
        <w:trPr>
          <w:trHeight w:val="33"/>
          <w:jc w:val="center"/>
        </w:trPr>
        <w:tc>
          <w:tcPr>
            <w:tcW w:w="535" w:type="dxa"/>
          </w:tcPr>
          <w:p w14:paraId="435A807A" w14:textId="292646A4" w:rsidR="00930B7C" w:rsidRDefault="00930B7C" w:rsidP="00930B7C">
            <w:pPr>
              <w:spacing w:after="0"/>
              <w:rPr>
                <w:rFonts w:ascii="Book Antiqua" w:hAnsi="Book Antiqua"/>
                <w:sz w:val="24"/>
                <w:szCs w:val="24"/>
              </w:rPr>
            </w:pPr>
            <w:r>
              <w:rPr>
                <w:rFonts w:ascii="Book Antiqua" w:hAnsi="Book Antiqua"/>
                <w:sz w:val="24"/>
                <w:szCs w:val="24"/>
              </w:rPr>
              <w:t>4.</w:t>
            </w:r>
          </w:p>
        </w:tc>
        <w:tc>
          <w:tcPr>
            <w:tcW w:w="1260" w:type="dxa"/>
          </w:tcPr>
          <w:p w14:paraId="01FF8E62" w14:textId="6BEDF939" w:rsidR="00930B7C" w:rsidRPr="00737B8C" w:rsidRDefault="00930B7C" w:rsidP="00930B7C">
            <w:pPr>
              <w:spacing w:after="0"/>
              <w:jc w:val="both"/>
            </w:pPr>
            <w:r w:rsidRPr="00737B8C">
              <w:rPr>
                <w:b/>
              </w:rPr>
              <w:t>Çështja B2</w:t>
            </w:r>
            <w:r w:rsidRPr="00737B8C">
              <w:t xml:space="preserve"> - Vonesa në </w:t>
            </w:r>
            <w:r w:rsidRPr="00737B8C">
              <w:lastRenderedPageBreak/>
              <w:t>pagesën e obligimeve financiare</w:t>
            </w:r>
          </w:p>
        </w:tc>
        <w:tc>
          <w:tcPr>
            <w:tcW w:w="5400" w:type="dxa"/>
          </w:tcPr>
          <w:p w14:paraId="1C40B091" w14:textId="77777777" w:rsidR="00930B7C" w:rsidRDefault="00930B7C" w:rsidP="00930B7C">
            <w:pPr>
              <w:spacing w:after="0"/>
              <w:jc w:val="both"/>
            </w:pPr>
            <w:r>
              <w:lastRenderedPageBreak/>
              <w:t xml:space="preserve">LMFPP dhe Rregulla financiare Nr.01/2013/MF për shpenzimin e parave publike, përcakton se, çdo faturë e </w:t>
            </w:r>
            <w:r>
              <w:lastRenderedPageBreak/>
              <w:t>vlefshme dhe kërkesë për pagim për mallra dhe shërbimet e furnizuara dhe/ose punët e realizuara të paguhen brenda tridhjetë (30) ditëve kalendarike pas pranimit të faturës.</w:t>
            </w:r>
          </w:p>
          <w:p w14:paraId="6125EC35" w14:textId="77777777" w:rsidR="00930B7C" w:rsidRDefault="00930B7C" w:rsidP="00930B7C">
            <w:pPr>
              <w:spacing w:after="0"/>
              <w:jc w:val="both"/>
            </w:pPr>
            <w:r>
              <w:t>Nga auditimi i pagesave kemi identifikuar se obligimet ndaj kontraktuesve nuk ishin realizuar brenda afatit ligjor prej 30 ditëve nga data e pranimit të faturës. Kjo është hasur në 28 pagesa për investime kapitale në vlerë 1,143,154€, 16 pagesa për mallra dhe shërbime në vlerë 128,92€, dhe një pagesë në vlerë 1,864€ nga kategoria e subvencioneve. Vonesat ishin nga 2 javë deri 17 muaj.</w:t>
            </w:r>
          </w:p>
          <w:p w14:paraId="333CF0EF" w14:textId="06E38AEB" w:rsidR="00930B7C" w:rsidRPr="00EC6E6F" w:rsidRDefault="00930B7C" w:rsidP="00930B7C">
            <w:pPr>
              <w:spacing w:after="0"/>
              <w:jc w:val="both"/>
              <w:rPr>
                <w:rFonts w:cstheme="minorHAnsi"/>
              </w:rPr>
            </w:pPr>
            <w:r>
              <w:t>Kjo ka ndodhur për shkak të hyrjes në obligime pa zotim paraprak të mjeteve buxhetore.</w:t>
            </w:r>
          </w:p>
        </w:tc>
        <w:tc>
          <w:tcPr>
            <w:tcW w:w="3060" w:type="dxa"/>
          </w:tcPr>
          <w:p w14:paraId="43F3CFE0" w14:textId="7D999993" w:rsidR="00930B7C" w:rsidRPr="00EC6E6F" w:rsidRDefault="00930B7C" w:rsidP="00930B7C">
            <w:pPr>
              <w:spacing w:after="0"/>
              <w:jc w:val="both"/>
              <w:rPr>
                <w:rFonts w:cstheme="minorHAnsi"/>
              </w:rPr>
            </w:pPr>
            <w:r>
              <w:lastRenderedPageBreak/>
              <w:t xml:space="preserve">Kryetari duhet të sigurojë se hyrja në obligime bëhet vetëm </w:t>
            </w:r>
            <w:r>
              <w:lastRenderedPageBreak/>
              <w:t>pasi mjetet buxhetore të jenë zotuar paraprakisht, dhe se obligimet financiare ndaj kontraktuesve të paguhen brenda afatit kohor ligjor.</w:t>
            </w:r>
          </w:p>
        </w:tc>
        <w:tc>
          <w:tcPr>
            <w:tcW w:w="1980" w:type="dxa"/>
          </w:tcPr>
          <w:p w14:paraId="5F6987E8" w14:textId="77777777" w:rsidR="00930B7C" w:rsidRDefault="00930B7C" w:rsidP="00930B7C">
            <w:pPr>
              <w:spacing w:after="0"/>
              <w:jc w:val="center"/>
              <w:rPr>
                <w:rFonts w:cstheme="minorHAnsi"/>
              </w:rPr>
            </w:pPr>
            <w:r>
              <w:rPr>
                <w:rFonts w:cstheme="minorHAnsi"/>
              </w:rPr>
              <w:lastRenderedPageBreak/>
              <w:t xml:space="preserve">Me zbatimin e rregullores </w:t>
            </w:r>
            <w:r>
              <w:rPr>
                <w:rFonts w:cstheme="minorHAnsi"/>
              </w:rPr>
              <w:lastRenderedPageBreak/>
              <w:t>financiare nr.01/2013, gjatë vitit 2023, vlerësojmë se ky rekomandim nëse jo plotësisht, pjesërisht do të zbatohet.</w:t>
            </w:r>
          </w:p>
          <w:p w14:paraId="7B7A900D" w14:textId="6E8FC810" w:rsidR="00930B7C" w:rsidRPr="00EC6E6F" w:rsidRDefault="00930B7C" w:rsidP="00930B7C">
            <w:pPr>
              <w:spacing w:after="0"/>
              <w:jc w:val="center"/>
              <w:rPr>
                <w:rFonts w:cstheme="minorHAnsi"/>
              </w:rPr>
            </w:pPr>
            <w:r>
              <w:rPr>
                <w:rFonts w:cstheme="minorHAnsi"/>
              </w:rPr>
              <w:t>Konsiderojmë se ky rekomandim, nëse jo plotësisht, pjesërisht do të zbatohet gjatë këtij viti.</w:t>
            </w:r>
          </w:p>
        </w:tc>
        <w:tc>
          <w:tcPr>
            <w:tcW w:w="1350" w:type="dxa"/>
          </w:tcPr>
          <w:p w14:paraId="50D5BE25" w14:textId="263A2C59" w:rsidR="00930B7C" w:rsidRPr="00EC6E6F" w:rsidRDefault="00930B7C" w:rsidP="00930B7C">
            <w:pPr>
              <w:jc w:val="center"/>
              <w:rPr>
                <w:rFonts w:cstheme="minorHAnsi"/>
              </w:rPr>
            </w:pPr>
            <w:r>
              <w:rPr>
                <w:rFonts w:cstheme="minorHAnsi"/>
              </w:rPr>
              <w:lastRenderedPageBreak/>
              <w:t xml:space="preserve">Drejtoria për Buxhet </w:t>
            </w:r>
            <w:r>
              <w:rPr>
                <w:rFonts w:cstheme="minorHAnsi"/>
              </w:rPr>
              <w:lastRenderedPageBreak/>
              <w:t>dhe Financa dhe Zyra e Prokurimit.</w:t>
            </w:r>
          </w:p>
          <w:p w14:paraId="3444C561" w14:textId="77777777" w:rsidR="00930B7C" w:rsidRPr="00EC6E6F" w:rsidRDefault="00930B7C" w:rsidP="00930B7C">
            <w:pPr>
              <w:spacing w:after="0"/>
              <w:jc w:val="center"/>
              <w:rPr>
                <w:rFonts w:cstheme="minorHAnsi"/>
              </w:rPr>
            </w:pPr>
          </w:p>
        </w:tc>
        <w:tc>
          <w:tcPr>
            <w:tcW w:w="810" w:type="dxa"/>
          </w:tcPr>
          <w:p w14:paraId="4D54F49A" w14:textId="1B0C76EE" w:rsidR="00930B7C" w:rsidRPr="00912F16" w:rsidRDefault="00930B7C" w:rsidP="00930B7C">
            <w:pPr>
              <w:spacing w:after="0"/>
              <w:rPr>
                <w:sz w:val="20"/>
                <w:szCs w:val="20"/>
              </w:rPr>
            </w:pPr>
            <w:r>
              <w:rPr>
                <w:sz w:val="20"/>
                <w:szCs w:val="20"/>
              </w:rPr>
              <w:lastRenderedPageBreak/>
              <w:t>2023</w:t>
            </w:r>
          </w:p>
        </w:tc>
        <w:tc>
          <w:tcPr>
            <w:tcW w:w="905" w:type="dxa"/>
          </w:tcPr>
          <w:p w14:paraId="4F389408" w14:textId="77777777" w:rsidR="00930B7C" w:rsidRPr="00344F9F" w:rsidRDefault="00930B7C" w:rsidP="00930B7C">
            <w:pPr>
              <w:spacing w:after="0"/>
              <w:rPr>
                <w:rFonts w:ascii="Book Antiqua" w:hAnsi="Book Antiqua" w:cs="Book Antiqua"/>
                <w:color w:val="000000"/>
                <w:sz w:val="20"/>
                <w:szCs w:val="20"/>
                <w:lang w:val="sr-Latn-RS"/>
              </w:rPr>
            </w:pPr>
          </w:p>
        </w:tc>
      </w:tr>
      <w:tr w:rsidR="00930B7C" w:rsidRPr="00912F16" w14:paraId="2640FD1F" w14:textId="77777777" w:rsidTr="00F23493">
        <w:trPr>
          <w:trHeight w:val="4"/>
          <w:jc w:val="center"/>
        </w:trPr>
        <w:tc>
          <w:tcPr>
            <w:tcW w:w="535" w:type="dxa"/>
          </w:tcPr>
          <w:p w14:paraId="6B17D168" w14:textId="6F418C1B" w:rsidR="00930B7C" w:rsidRDefault="00930B7C" w:rsidP="00930B7C">
            <w:pPr>
              <w:spacing w:after="0"/>
            </w:pPr>
            <w:r>
              <w:t>5.</w:t>
            </w:r>
          </w:p>
          <w:p w14:paraId="0BC9829D" w14:textId="77777777" w:rsidR="00930B7C" w:rsidRDefault="00930B7C" w:rsidP="00930B7C">
            <w:pPr>
              <w:spacing w:after="0"/>
              <w:rPr>
                <w:b/>
              </w:rPr>
            </w:pPr>
          </w:p>
          <w:p w14:paraId="4CA47004" w14:textId="77777777" w:rsidR="00930B7C" w:rsidRDefault="00930B7C" w:rsidP="00930B7C">
            <w:pPr>
              <w:spacing w:after="0"/>
              <w:rPr>
                <w:b/>
              </w:rPr>
            </w:pPr>
          </w:p>
          <w:p w14:paraId="5B6A1F05" w14:textId="77777777" w:rsidR="00930B7C" w:rsidRDefault="00930B7C" w:rsidP="00930B7C">
            <w:pPr>
              <w:spacing w:after="0"/>
              <w:rPr>
                <w:b/>
              </w:rPr>
            </w:pPr>
          </w:p>
          <w:p w14:paraId="1134ED4B" w14:textId="77777777" w:rsidR="00930B7C" w:rsidRDefault="00930B7C" w:rsidP="00930B7C">
            <w:pPr>
              <w:spacing w:after="0"/>
              <w:rPr>
                <w:b/>
              </w:rPr>
            </w:pPr>
          </w:p>
          <w:p w14:paraId="36800DFE" w14:textId="77777777" w:rsidR="00930B7C" w:rsidRDefault="00930B7C" w:rsidP="00930B7C">
            <w:pPr>
              <w:spacing w:after="0"/>
              <w:rPr>
                <w:b/>
              </w:rPr>
            </w:pPr>
          </w:p>
          <w:p w14:paraId="69A5A881" w14:textId="77777777" w:rsidR="00930B7C" w:rsidRDefault="00930B7C" w:rsidP="00930B7C">
            <w:pPr>
              <w:spacing w:after="0"/>
              <w:rPr>
                <w:b/>
              </w:rPr>
            </w:pPr>
          </w:p>
          <w:p w14:paraId="133E57E6" w14:textId="77777777" w:rsidR="00930B7C" w:rsidRDefault="00930B7C" w:rsidP="00930B7C">
            <w:pPr>
              <w:spacing w:after="0"/>
              <w:rPr>
                <w:b/>
              </w:rPr>
            </w:pPr>
          </w:p>
          <w:p w14:paraId="59BECFC5" w14:textId="77777777" w:rsidR="00930B7C" w:rsidRDefault="00930B7C" w:rsidP="00930B7C">
            <w:pPr>
              <w:spacing w:after="0"/>
              <w:rPr>
                <w:b/>
              </w:rPr>
            </w:pPr>
          </w:p>
          <w:p w14:paraId="66F6141D" w14:textId="4A9722FE" w:rsidR="00930B7C" w:rsidRPr="001469A2" w:rsidRDefault="00930B7C" w:rsidP="00930B7C">
            <w:pPr>
              <w:spacing w:after="0"/>
              <w:rPr>
                <w:b/>
              </w:rPr>
            </w:pPr>
          </w:p>
        </w:tc>
        <w:tc>
          <w:tcPr>
            <w:tcW w:w="1260" w:type="dxa"/>
          </w:tcPr>
          <w:p w14:paraId="096E9134" w14:textId="33A7458C" w:rsidR="00930B7C" w:rsidRPr="00737B8C" w:rsidRDefault="00930B7C" w:rsidP="00930B7C">
            <w:pPr>
              <w:spacing w:after="0"/>
              <w:rPr>
                <w:sz w:val="20"/>
                <w:szCs w:val="20"/>
              </w:rPr>
            </w:pPr>
            <w:r w:rsidRPr="00737B8C">
              <w:rPr>
                <w:b/>
              </w:rPr>
              <w:t>Çështja B3</w:t>
            </w:r>
            <w:r w:rsidRPr="00737B8C">
              <w:t xml:space="preserve"> - Garancioni i punimeve jo në afatin e duhur</w:t>
            </w:r>
          </w:p>
        </w:tc>
        <w:tc>
          <w:tcPr>
            <w:tcW w:w="5400" w:type="dxa"/>
          </w:tcPr>
          <w:p w14:paraId="71C5243F" w14:textId="77777777" w:rsidR="00930B7C" w:rsidRDefault="00930B7C" w:rsidP="00930B7C">
            <w:pPr>
              <w:spacing w:after="0"/>
              <w:jc w:val="both"/>
            </w:pPr>
            <w:r>
              <w:t xml:space="preserve">Ligji Nr.03/L-048 për MFPP, në nenin 39.1, parasheh që çdo faturë e vlefshme dhe kërkesë për pagesë për mallra dhe shërbimet e furnizuara dhe/ ose punët e realizuara për organizatën buxhetore të paguhen brenda tridhjetë (30) ditëve kalendarike pas pranimit të faturës. </w:t>
            </w:r>
          </w:p>
          <w:p w14:paraId="330C731B" w14:textId="77777777" w:rsidR="00930B7C" w:rsidRDefault="00930B7C" w:rsidP="00930B7C">
            <w:pPr>
              <w:spacing w:after="0"/>
              <w:jc w:val="both"/>
            </w:pPr>
            <w:r>
              <w:t xml:space="preserve">Nga analiza e data bazës së furnitorëve, kemi vërejtur se gjatë vitit 2021 ishin kryer pagesa në shumën 2,523,472€ apo 1,165 raste të pagesave nga lista e furnitorëve, të cilët e kishin tejkaluar afatin ligjor prej 30 ditësh deri në dy vite. </w:t>
            </w:r>
          </w:p>
          <w:p w14:paraId="7FA8B423" w14:textId="77777777" w:rsidR="00930B7C" w:rsidRPr="00EC6E6F" w:rsidRDefault="00930B7C" w:rsidP="00930B7C">
            <w:pPr>
              <w:spacing w:after="0"/>
              <w:jc w:val="both"/>
              <w:rPr>
                <w:rFonts w:cstheme="minorHAnsi"/>
              </w:rPr>
            </w:pPr>
            <w:r>
              <w:t>Hyrja në obligime pa buxhet dhe neglizhenca e zyrtarëve përgjegjës ka ndikuar në mos realizimin e pagesave brenda afatit kohor ligjor, që kanë rezultuar dhe mund të ndikoj njëherit në shtimin e numrit të realizimit të pagesave përmes vendimeve gjyqësore/ përmbarimore.</w:t>
            </w:r>
          </w:p>
        </w:tc>
        <w:tc>
          <w:tcPr>
            <w:tcW w:w="3060" w:type="dxa"/>
          </w:tcPr>
          <w:p w14:paraId="0613A10C" w14:textId="77777777" w:rsidR="00930B7C" w:rsidRPr="00EC6E6F" w:rsidRDefault="00930B7C" w:rsidP="00930B7C">
            <w:pPr>
              <w:spacing w:after="0"/>
              <w:jc w:val="both"/>
              <w:rPr>
                <w:rFonts w:cstheme="minorHAnsi"/>
              </w:rPr>
            </w:pPr>
            <w:r>
              <w:t>Kryetari duhet të forcojë kontrollet në procesin e menaxhimit të pagesave, për të siguruar që Komuna mos të hyjë në obligime pa fonde të mjaftueshme dhe që të gjitha faturat paguhen brenda afatit ligjor.</w:t>
            </w:r>
          </w:p>
        </w:tc>
        <w:tc>
          <w:tcPr>
            <w:tcW w:w="1980" w:type="dxa"/>
          </w:tcPr>
          <w:p w14:paraId="3A16066D" w14:textId="513C3FAF" w:rsidR="00930B7C" w:rsidRPr="00EC6E6F" w:rsidRDefault="009A39C1" w:rsidP="00930B7C">
            <w:pPr>
              <w:spacing w:after="0"/>
              <w:jc w:val="center"/>
              <w:rPr>
                <w:rFonts w:cstheme="minorHAnsi"/>
              </w:rPr>
            </w:pPr>
            <w:r>
              <w:rPr>
                <w:rFonts w:cstheme="minorHAnsi"/>
              </w:rPr>
              <w:t>Deri në fund të vitit fiskal, ky rekomandim pjesërisht do të zbatohet, e në vitet në vazhdim, plotësisht do të zbatohet.</w:t>
            </w:r>
          </w:p>
        </w:tc>
        <w:tc>
          <w:tcPr>
            <w:tcW w:w="1350" w:type="dxa"/>
          </w:tcPr>
          <w:p w14:paraId="38AC75CF" w14:textId="2CC9CE17" w:rsidR="00930B7C" w:rsidRPr="00EC6E6F" w:rsidRDefault="009E2B48" w:rsidP="00930B7C">
            <w:pPr>
              <w:spacing w:after="0"/>
              <w:jc w:val="center"/>
              <w:rPr>
                <w:rFonts w:cstheme="minorHAnsi"/>
              </w:rPr>
            </w:pPr>
            <w:r>
              <w:rPr>
                <w:rFonts w:cstheme="minorHAnsi"/>
              </w:rPr>
              <w:t>Drejtoria për Buxhet dhe Financa dhe Zyra e Prokurimit</w:t>
            </w:r>
          </w:p>
        </w:tc>
        <w:tc>
          <w:tcPr>
            <w:tcW w:w="810" w:type="dxa"/>
          </w:tcPr>
          <w:p w14:paraId="4B306283" w14:textId="4985A029" w:rsidR="00930B7C" w:rsidRPr="00912F16" w:rsidRDefault="00930B7C" w:rsidP="00930B7C">
            <w:pPr>
              <w:spacing w:after="0"/>
              <w:rPr>
                <w:sz w:val="20"/>
                <w:szCs w:val="20"/>
              </w:rPr>
            </w:pPr>
          </w:p>
        </w:tc>
        <w:tc>
          <w:tcPr>
            <w:tcW w:w="905" w:type="dxa"/>
          </w:tcPr>
          <w:p w14:paraId="1A400D0A" w14:textId="77777777" w:rsidR="00930B7C" w:rsidRPr="00344F9F" w:rsidRDefault="00930B7C" w:rsidP="00930B7C">
            <w:pPr>
              <w:spacing w:after="0"/>
              <w:rPr>
                <w:rFonts w:ascii="Book Antiqua" w:hAnsi="Book Antiqua" w:cs="Book Antiqua"/>
                <w:color w:val="000000"/>
                <w:sz w:val="20"/>
                <w:szCs w:val="20"/>
                <w:lang w:val="sr-Latn-RS"/>
              </w:rPr>
            </w:pPr>
          </w:p>
        </w:tc>
        <w:bookmarkStart w:id="0" w:name="_GoBack"/>
        <w:bookmarkEnd w:id="0"/>
      </w:tr>
      <w:tr w:rsidR="00930B7C" w:rsidRPr="00912F16" w14:paraId="4E18976A" w14:textId="77777777" w:rsidTr="00AF1422">
        <w:trPr>
          <w:trHeight w:val="4267"/>
          <w:jc w:val="center"/>
        </w:trPr>
        <w:tc>
          <w:tcPr>
            <w:tcW w:w="535" w:type="dxa"/>
          </w:tcPr>
          <w:p w14:paraId="263B427D" w14:textId="2BA2A36D" w:rsidR="00930B7C" w:rsidRDefault="00930B7C" w:rsidP="00930B7C">
            <w:pPr>
              <w:spacing w:after="0"/>
              <w:rPr>
                <w:b/>
              </w:rPr>
            </w:pPr>
            <w:r>
              <w:rPr>
                <w:b/>
              </w:rPr>
              <w:lastRenderedPageBreak/>
              <w:t>6.</w:t>
            </w:r>
          </w:p>
          <w:p w14:paraId="4A72800A" w14:textId="77777777" w:rsidR="00930B7C" w:rsidRDefault="00930B7C" w:rsidP="00930B7C">
            <w:pPr>
              <w:spacing w:after="0"/>
              <w:rPr>
                <w:b/>
              </w:rPr>
            </w:pPr>
          </w:p>
          <w:p w14:paraId="25A6D62D" w14:textId="77777777" w:rsidR="00930B7C" w:rsidRDefault="00930B7C" w:rsidP="00930B7C">
            <w:pPr>
              <w:spacing w:after="0"/>
              <w:rPr>
                <w:b/>
              </w:rPr>
            </w:pPr>
          </w:p>
          <w:p w14:paraId="0C734E53" w14:textId="77777777" w:rsidR="00930B7C" w:rsidRDefault="00930B7C" w:rsidP="00930B7C">
            <w:pPr>
              <w:spacing w:after="0"/>
              <w:rPr>
                <w:b/>
              </w:rPr>
            </w:pPr>
          </w:p>
          <w:p w14:paraId="248AA2B8" w14:textId="211171A8" w:rsidR="00930B7C" w:rsidRDefault="00930B7C" w:rsidP="00930B7C">
            <w:pPr>
              <w:spacing w:after="0"/>
              <w:rPr>
                <w:b/>
              </w:rPr>
            </w:pPr>
          </w:p>
          <w:p w14:paraId="7591226A" w14:textId="77777777" w:rsidR="00930B7C" w:rsidRDefault="00930B7C" w:rsidP="00930B7C">
            <w:pPr>
              <w:spacing w:after="0"/>
              <w:rPr>
                <w:b/>
              </w:rPr>
            </w:pPr>
          </w:p>
          <w:p w14:paraId="10850C59" w14:textId="19646996" w:rsidR="00930B7C" w:rsidRPr="001469A2" w:rsidRDefault="00930B7C" w:rsidP="00930B7C">
            <w:pPr>
              <w:spacing w:after="0"/>
              <w:rPr>
                <w:b/>
              </w:rPr>
            </w:pPr>
          </w:p>
        </w:tc>
        <w:tc>
          <w:tcPr>
            <w:tcW w:w="1260" w:type="dxa"/>
          </w:tcPr>
          <w:p w14:paraId="5B37729F" w14:textId="352080A2" w:rsidR="00930B7C" w:rsidRPr="00737B8C" w:rsidRDefault="00930B7C" w:rsidP="00930B7C">
            <w:pPr>
              <w:spacing w:after="0"/>
              <w:rPr>
                <w:sz w:val="20"/>
                <w:szCs w:val="20"/>
              </w:rPr>
            </w:pPr>
            <w:r w:rsidRPr="00737B8C">
              <w:rPr>
                <w:b/>
              </w:rPr>
              <w:t>Çështja A3</w:t>
            </w:r>
            <w:r w:rsidRPr="00737B8C">
              <w:t xml:space="preserve"> - Ndarje jo e duhur e detyrave</w:t>
            </w:r>
          </w:p>
        </w:tc>
        <w:tc>
          <w:tcPr>
            <w:tcW w:w="5400" w:type="dxa"/>
          </w:tcPr>
          <w:p w14:paraId="265B83E0" w14:textId="4C17B493" w:rsidR="00930B7C" w:rsidRPr="00EC6E6F" w:rsidRDefault="00930B7C" w:rsidP="00930B7C">
            <w:pPr>
              <w:spacing w:after="0"/>
              <w:jc w:val="both"/>
              <w:rPr>
                <w:rFonts w:cstheme="minorHAnsi"/>
              </w:rPr>
            </w:pPr>
            <w:r>
              <w:t>Sipas nenit 38 të Rregullores MF-Nr. 01/2019 për menaxhimin financiar dhe kontrollin, udhëheqësi përcakton ndarjen e detyrave që ndanë operacionet dhe përgjegjësitë për zbatimin e dy ose më shumë fazave të një procesi ose aktiviteti në mes të punëtorëve të ndryshëm. I njëjti punëtorë nuk mund të jetë përgjegjës njëkohësisht për miratim, zbatim, kontabilitet dhe kontroll. Në komisionin e vlerësimit të aplikacioneve për ndarjen e subvencioneve për klubet dhe shoqatat sportive dhe OJQ për vitin 2022, një anëtar i komisionit përbëhej nga zyrtari çertifikues. Kjo ka ndodhur për shkak mos veprimit në përputhje me kërkesat ligjore për ndarjen e detyrave dhe përgjegjësive.</w:t>
            </w:r>
          </w:p>
        </w:tc>
        <w:tc>
          <w:tcPr>
            <w:tcW w:w="3060" w:type="dxa"/>
          </w:tcPr>
          <w:p w14:paraId="1FDEEA3D" w14:textId="661BFC42" w:rsidR="00930B7C" w:rsidRPr="00EC6E6F" w:rsidRDefault="00930B7C" w:rsidP="00930B7C">
            <w:pPr>
              <w:spacing w:after="0"/>
              <w:jc w:val="both"/>
              <w:rPr>
                <w:rFonts w:cstheme="minorHAnsi"/>
              </w:rPr>
            </w:pPr>
            <w:r>
              <w:t>Kryetari duhet të sigurojë ndarjen e detyrave dhe përgjegjësive në pajtim me kërkesat dhe procedurat e MFK-së, ashtu që i njëjti zyrtar të mos merr pjesë në dy apo më shumë faza të procesit.</w:t>
            </w:r>
          </w:p>
        </w:tc>
        <w:tc>
          <w:tcPr>
            <w:tcW w:w="1980" w:type="dxa"/>
          </w:tcPr>
          <w:p w14:paraId="6294880B" w14:textId="1D671FE0" w:rsidR="00930B7C" w:rsidRPr="00EC6E6F" w:rsidRDefault="00930B7C" w:rsidP="00930B7C">
            <w:pPr>
              <w:spacing w:after="0"/>
              <w:rPr>
                <w:rFonts w:cstheme="minorHAnsi"/>
              </w:rPr>
            </w:pPr>
            <w:r>
              <w:rPr>
                <w:rFonts w:cstheme="minorHAnsi"/>
              </w:rPr>
              <w:t>Rekomandim i zbatuar</w:t>
            </w:r>
            <w:r w:rsidR="00EB4867">
              <w:rPr>
                <w:rFonts w:cstheme="minorHAnsi"/>
              </w:rPr>
              <w:t>, nuk kemi pasur raste te tilla ne vitin 2023.</w:t>
            </w:r>
          </w:p>
        </w:tc>
        <w:tc>
          <w:tcPr>
            <w:tcW w:w="1350" w:type="dxa"/>
          </w:tcPr>
          <w:p w14:paraId="209C0886" w14:textId="5EB927B5" w:rsidR="00930B7C" w:rsidRPr="00EC6E6F" w:rsidRDefault="00930B7C" w:rsidP="00930B7C">
            <w:pPr>
              <w:jc w:val="center"/>
              <w:rPr>
                <w:rFonts w:cstheme="minorHAnsi"/>
              </w:rPr>
            </w:pPr>
            <w:r>
              <w:rPr>
                <w:rFonts w:cstheme="minorHAnsi"/>
              </w:rPr>
              <w:t>Drejtoria për Kulturë,Rini dhe Sport dhe komisioni për vlerësimin e kërkesave (aplikacioneve).</w:t>
            </w:r>
          </w:p>
        </w:tc>
        <w:tc>
          <w:tcPr>
            <w:tcW w:w="810" w:type="dxa"/>
          </w:tcPr>
          <w:p w14:paraId="1CFFC3F0" w14:textId="7F152950" w:rsidR="00930B7C" w:rsidRPr="00912F16" w:rsidRDefault="00930B7C" w:rsidP="00930B7C">
            <w:pPr>
              <w:spacing w:after="0"/>
              <w:rPr>
                <w:sz w:val="20"/>
                <w:szCs w:val="20"/>
              </w:rPr>
            </w:pPr>
            <w:r>
              <w:rPr>
                <w:sz w:val="20"/>
                <w:szCs w:val="20"/>
              </w:rPr>
              <w:t>2023</w:t>
            </w:r>
          </w:p>
        </w:tc>
        <w:tc>
          <w:tcPr>
            <w:tcW w:w="905" w:type="dxa"/>
          </w:tcPr>
          <w:p w14:paraId="1B0C9E10" w14:textId="77777777" w:rsidR="00930B7C" w:rsidRPr="00912F16" w:rsidRDefault="00930B7C" w:rsidP="00930B7C">
            <w:pPr>
              <w:spacing w:after="0"/>
              <w:rPr>
                <w:sz w:val="20"/>
                <w:szCs w:val="20"/>
              </w:rPr>
            </w:pPr>
          </w:p>
        </w:tc>
      </w:tr>
      <w:tr w:rsidR="00930B7C" w:rsidRPr="00912F16" w14:paraId="77009101" w14:textId="77777777" w:rsidTr="00F23493">
        <w:trPr>
          <w:trHeight w:val="4"/>
          <w:jc w:val="center"/>
        </w:trPr>
        <w:tc>
          <w:tcPr>
            <w:tcW w:w="535" w:type="dxa"/>
          </w:tcPr>
          <w:p w14:paraId="2075A1EA" w14:textId="15450421" w:rsidR="00930B7C" w:rsidRDefault="00930B7C" w:rsidP="00930B7C">
            <w:pPr>
              <w:spacing w:after="0"/>
              <w:rPr>
                <w:b/>
              </w:rPr>
            </w:pPr>
            <w:r>
              <w:rPr>
                <w:b/>
              </w:rPr>
              <w:t>7.</w:t>
            </w:r>
          </w:p>
          <w:p w14:paraId="5BD150C4" w14:textId="77777777" w:rsidR="00930B7C" w:rsidRDefault="00930B7C" w:rsidP="00930B7C">
            <w:pPr>
              <w:spacing w:after="0"/>
              <w:rPr>
                <w:b/>
              </w:rPr>
            </w:pPr>
          </w:p>
          <w:p w14:paraId="08146957" w14:textId="77777777" w:rsidR="00930B7C" w:rsidRDefault="00930B7C" w:rsidP="00930B7C">
            <w:pPr>
              <w:spacing w:after="0"/>
              <w:rPr>
                <w:b/>
              </w:rPr>
            </w:pPr>
          </w:p>
          <w:p w14:paraId="1219E4EE" w14:textId="77777777" w:rsidR="00930B7C" w:rsidRDefault="00930B7C" w:rsidP="00930B7C">
            <w:pPr>
              <w:spacing w:after="0"/>
              <w:rPr>
                <w:b/>
              </w:rPr>
            </w:pPr>
          </w:p>
          <w:p w14:paraId="06704C64" w14:textId="77777777" w:rsidR="00930B7C" w:rsidRDefault="00930B7C" w:rsidP="00930B7C">
            <w:pPr>
              <w:spacing w:after="0"/>
              <w:rPr>
                <w:b/>
              </w:rPr>
            </w:pPr>
          </w:p>
          <w:p w14:paraId="1D2F4836" w14:textId="77777777" w:rsidR="00930B7C" w:rsidRDefault="00930B7C" w:rsidP="00930B7C">
            <w:pPr>
              <w:spacing w:after="0"/>
              <w:rPr>
                <w:b/>
              </w:rPr>
            </w:pPr>
          </w:p>
          <w:p w14:paraId="39F1F5B7" w14:textId="77777777" w:rsidR="00930B7C" w:rsidRDefault="00930B7C" w:rsidP="00930B7C">
            <w:pPr>
              <w:spacing w:after="0"/>
              <w:rPr>
                <w:b/>
              </w:rPr>
            </w:pPr>
          </w:p>
          <w:p w14:paraId="126C4CDE" w14:textId="77777777" w:rsidR="00930B7C" w:rsidRDefault="00930B7C" w:rsidP="00930B7C">
            <w:pPr>
              <w:spacing w:after="0"/>
              <w:rPr>
                <w:b/>
              </w:rPr>
            </w:pPr>
          </w:p>
          <w:p w14:paraId="5FCD9CE4" w14:textId="77777777" w:rsidR="00930B7C" w:rsidRDefault="00930B7C" w:rsidP="00930B7C">
            <w:pPr>
              <w:spacing w:after="0"/>
              <w:rPr>
                <w:b/>
              </w:rPr>
            </w:pPr>
          </w:p>
          <w:p w14:paraId="5EA7DF34" w14:textId="0683300C" w:rsidR="00930B7C" w:rsidRPr="001469A2" w:rsidRDefault="00930B7C" w:rsidP="00930B7C">
            <w:pPr>
              <w:spacing w:after="0"/>
              <w:rPr>
                <w:b/>
              </w:rPr>
            </w:pPr>
          </w:p>
          <w:p w14:paraId="692AC819" w14:textId="77777777" w:rsidR="00930B7C" w:rsidRPr="0050456B" w:rsidRDefault="00930B7C" w:rsidP="00930B7C">
            <w:pPr>
              <w:spacing w:after="0"/>
            </w:pPr>
          </w:p>
        </w:tc>
        <w:tc>
          <w:tcPr>
            <w:tcW w:w="1260" w:type="dxa"/>
          </w:tcPr>
          <w:p w14:paraId="294B4ABD" w14:textId="69FA38C9" w:rsidR="00930B7C" w:rsidRPr="00AF1422" w:rsidRDefault="00930B7C" w:rsidP="00930B7C">
            <w:pPr>
              <w:spacing w:after="0"/>
              <w:rPr>
                <w:sz w:val="20"/>
                <w:szCs w:val="20"/>
                <w:highlight w:val="yellow"/>
                <w:lang w:val="sr-Latn-RS"/>
              </w:rPr>
            </w:pPr>
            <w:r w:rsidRPr="00737B8C">
              <w:rPr>
                <w:b/>
              </w:rPr>
              <w:t>Çështja B4</w:t>
            </w:r>
            <w:r w:rsidRPr="00737B8C">
              <w:t xml:space="preserve"> Vonesa në realizim të projekteve kapitale</w:t>
            </w:r>
          </w:p>
        </w:tc>
        <w:tc>
          <w:tcPr>
            <w:tcW w:w="5400" w:type="dxa"/>
          </w:tcPr>
          <w:p w14:paraId="7601D07B" w14:textId="77777777" w:rsidR="00930B7C" w:rsidRDefault="00930B7C" w:rsidP="00930B7C">
            <w:pPr>
              <w:spacing w:after="0"/>
              <w:jc w:val="both"/>
            </w:pPr>
            <w:r>
              <w:t xml:space="preserve">Rregulla dhe Udhëzuesi Operativ të Prokurimit Publik, pikat 61.6, 61.19 dhe 61.20 përcaktojnë se: Menaxherët e kontratës janë përgjegjës për menaxhimin e kontratës dhe duhet të sigurojnë se kontraktuesi kryen kontratën në përputhje me termat dhe kushtet e specifikuara në kontratë. Gjithashtu, me kushtet e veçanta të kontratës përcaktohet afati kohor i realizimit të projekteve. Vonesa në realizim të projekteve kapitale janë hasur te kontratat: • Ndërtimi i objektit të çerdhes së fëmijëve në fshatin Ratkoc, në vlerë 468,298€, e nënshkruar në muajin nëntor 2018, do të duhej të përfundonte brenda dy viteve. Projekti nuk ishte përfunduar deri në fillim të muajit dhjetor 2022. </w:t>
            </w:r>
          </w:p>
          <w:p w14:paraId="4F34AD6A" w14:textId="77777777" w:rsidR="00930B7C" w:rsidRDefault="00930B7C" w:rsidP="00930B7C">
            <w:pPr>
              <w:spacing w:after="0"/>
              <w:jc w:val="both"/>
            </w:pPr>
            <w:r>
              <w:t xml:space="preserve">• Ndërtimi i kanalizimeve ne komunën e Rahovecit, ne vlerë 441,156€ dhe aneks kontrata ne vlere 40,530€, duhej të përfundonte në fund të vitit 2020, ndërsa ka zgjatur deri në maj 2022. </w:t>
            </w:r>
          </w:p>
          <w:p w14:paraId="5F846922" w14:textId="77777777" w:rsidR="00930B7C" w:rsidRDefault="00930B7C" w:rsidP="00930B7C">
            <w:pPr>
              <w:spacing w:after="0"/>
              <w:jc w:val="both"/>
            </w:pPr>
            <w:r>
              <w:t xml:space="preserve">• Riparimi i monumenteve kulturore - historike, Lot 2, e nënshkruar me datë 20.09.2021, në vlerë 130,016€ ishte planifikuar të realizohej për 430 ditë. Deri në dhjetor 2022 ishin realizuar 36% e punimeve të kontraktuara. </w:t>
            </w:r>
          </w:p>
          <w:p w14:paraId="5017315D" w14:textId="77777777" w:rsidR="00930B7C" w:rsidRDefault="00930B7C" w:rsidP="00930B7C">
            <w:pPr>
              <w:spacing w:after="0"/>
              <w:jc w:val="both"/>
            </w:pPr>
            <w:r>
              <w:t xml:space="preserve">• Ndërtimi i tregut ditor në fshatin Ratkoc, në vlerë 69,997€ është nënshkruar e date 18.06.2021, me afat të </w:t>
            </w:r>
            <w:r>
              <w:lastRenderedPageBreak/>
              <w:t xml:space="preserve">realizimit prej 120 ditëve, ishte realizuar me 6 muaj vonesë. </w:t>
            </w:r>
          </w:p>
          <w:p w14:paraId="35B178B6" w14:textId="74613410" w:rsidR="00930B7C" w:rsidRPr="00EC6E6F" w:rsidRDefault="00930B7C" w:rsidP="00930B7C">
            <w:pPr>
              <w:spacing w:after="0"/>
              <w:jc w:val="both"/>
              <w:rPr>
                <w:rFonts w:cstheme="minorHAnsi"/>
              </w:rPr>
            </w:pPr>
            <w:r>
              <w:t>Kjo ka ndodhur për shkak të kontrolleve të pamjaftueshme në menaxhimin e kontratave publike dhe mungesës së mjeteve buxhetore.</w:t>
            </w:r>
          </w:p>
        </w:tc>
        <w:tc>
          <w:tcPr>
            <w:tcW w:w="3060" w:type="dxa"/>
          </w:tcPr>
          <w:p w14:paraId="1F267387" w14:textId="26273E5B" w:rsidR="00930B7C" w:rsidRDefault="00930B7C" w:rsidP="00930B7C">
            <w:pPr>
              <w:spacing w:after="0"/>
              <w:jc w:val="both"/>
              <w:rPr>
                <w:rFonts w:cstheme="minorHAnsi"/>
              </w:rPr>
            </w:pPr>
            <w:r>
              <w:lastRenderedPageBreak/>
              <w:t>Kryetari duhet të sigurojë se projektet kapitale realizohen brenda planit dinamik të përcaktuar me kontratë, dhe për vonesat e pa arsyetuara të aplikohen penalet e parapara me kontratë.</w:t>
            </w:r>
          </w:p>
          <w:p w14:paraId="212AD1B2" w14:textId="77777777" w:rsidR="00930B7C" w:rsidRDefault="00930B7C" w:rsidP="00930B7C">
            <w:pPr>
              <w:spacing w:after="0"/>
              <w:rPr>
                <w:rFonts w:cstheme="minorHAnsi"/>
              </w:rPr>
            </w:pPr>
          </w:p>
          <w:p w14:paraId="02BB505E" w14:textId="77777777" w:rsidR="00930B7C" w:rsidRPr="0083120F" w:rsidRDefault="00930B7C" w:rsidP="00930B7C">
            <w:pPr>
              <w:spacing w:after="0"/>
              <w:jc w:val="center"/>
              <w:rPr>
                <w:rFonts w:cstheme="minorHAnsi"/>
              </w:rPr>
            </w:pPr>
          </w:p>
        </w:tc>
        <w:tc>
          <w:tcPr>
            <w:tcW w:w="1980" w:type="dxa"/>
          </w:tcPr>
          <w:p w14:paraId="6706CA30" w14:textId="70E4EC7B" w:rsidR="00930B7C" w:rsidRPr="00EC6E6F" w:rsidRDefault="00930B7C" w:rsidP="00930B7C">
            <w:pPr>
              <w:spacing w:after="0"/>
              <w:jc w:val="center"/>
              <w:rPr>
                <w:rFonts w:cstheme="minorHAnsi"/>
              </w:rPr>
            </w:pPr>
            <w:r>
              <w:rPr>
                <w:rFonts w:cstheme="minorHAnsi"/>
              </w:rPr>
              <w:t>Deri në fund të vitit fiskal, ky rekomandim pjesërisht do të zbatohet, e në vitet në vazhdim, plotësisht do të zbatohet.</w:t>
            </w:r>
          </w:p>
        </w:tc>
        <w:tc>
          <w:tcPr>
            <w:tcW w:w="1350" w:type="dxa"/>
          </w:tcPr>
          <w:p w14:paraId="6C226274" w14:textId="21C3EFA5" w:rsidR="00930B7C" w:rsidRPr="00EC6E6F" w:rsidRDefault="00930B7C" w:rsidP="00930B7C">
            <w:pPr>
              <w:jc w:val="center"/>
              <w:rPr>
                <w:rFonts w:cstheme="minorHAnsi"/>
              </w:rPr>
            </w:pPr>
            <w:r>
              <w:rPr>
                <w:rFonts w:cstheme="minorHAnsi"/>
              </w:rPr>
              <w:t>Drejtoria për Buxhet dhe Financa, zyra e prokurimit dhe drejtoritë përkatëse</w:t>
            </w:r>
          </w:p>
          <w:p w14:paraId="6E3E6A40" w14:textId="77777777" w:rsidR="00930B7C" w:rsidRPr="00EC6E6F" w:rsidRDefault="00930B7C" w:rsidP="00930B7C">
            <w:pPr>
              <w:spacing w:after="0"/>
              <w:jc w:val="center"/>
              <w:rPr>
                <w:rFonts w:cstheme="minorHAnsi"/>
              </w:rPr>
            </w:pPr>
          </w:p>
          <w:p w14:paraId="6B7F08BE" w14:textId="77777777" w:rsidR="00930B7C" w:rsidRPr="00EC6E6F" w:rsidRDefault="00930B7C" w:rsidP="00930B7C">
            <w:pPr>
              <w:spacing w:after="0"/>
              <w:jc w:val="center"/>
              <w:rPr>
                <w:rFonts w:cstheme="minorHAnsi"/>
              </w:rPr>
            </w:pPr>
          </w:p>
          <w:p w14:paraId="037F45A8" w14:textId="77777777" w:rsidR="00930B7C" w:rsidRPr="00EC6E6F" w:rsidRDefault="00930B7C" w:rsidP="00930B7C">
            <w:pPr>
              <w:spacing w:after="0"/>
              <w:jc w:val="center"/>
              <w:rPr>
                <w:rFonts w:cstheme="minorHAnsi"/>
              </w:rPr>
            </w:pPr>
          </w:p>
        </w:tc>
        <w:tc>
          <w:tcPr>
            <w:tcW w:w="810" w:type="dxa"/>
          </w:tcPr>
          <w:p w14:paraId="449FEF69" w14:textId="0D186AE1" w:rsidR="00930B7C" w:rsidRPr="00912F16" w:rsidRDefault="00930B7C" w:rsidP="00930B7C">
            <w:pPr>
              <w:spacing w:after="0"/>
              <w:rPr>
                <w:rFonts w:ascii="Book Antiqua" w:hAnsi="Book Antiqua" w:cs="Book Antiqua"/>
                <w:color w:val="000000"/>
                <w:sz w:val="20"/>
                <w:szCs w:val="20"/>
                <w:lang w:val="sr-Latn-RS"/>
              </w:rPr>
            </w:pPr>
            <w:r>
              <w:rPr>
                <w:rFonts w:ascii="Book Antiqua" w:hAnsi="Book Antiqua" w:cs="Book Antiqua"/>
                <w:color w:val="000000"/>
                <w:sz w:val="20"/>
                <w:szCs w:val="20"/>
                <w:lang w:val="sr-Latn-RS"/>
              </w:rPr>
              <w:t>2023</w:t>
            </w:r>
          </w:p>
        </w:tc>
        <w:tc>
          <w:tcPr>
            <w:tcW w:w="905" w:type="dxa"/>
          </w:tcPr>
          <w:p w14:paraId="46B05D85" w14:textId="77777777" w:rsidR="00930B7C" w:rsidRPr="00912F16" w:rsidRDefault="00930B7C" w:rsidP="00930B7C">
            <w:pPr>
              <w:spacing w:after="0"/>
              <w:rPr>
                <w:sz w:val="20"/>
                <w:szCs w:val="20"/>
              </w:rPr>
            </w:pPr>
          </w:p>
        </w:tc>
      </w:tr>
      <w:tr w:rsidR="00930B7C" w:rsidRPr="00912F16" w14:paraId="05C96C81" w14:textId="77777777" w:rsidTr="00F23493">
        <w:trPr>
          <w:trHeight w:val="4"/>
          <w:jc w:val="center"/>
        </w:trPr>
        <w:tc>
          <w:tcPr>
            <w:tcW w:w="535" w:type="dxa"/>
          </w:tcPr>
          <w:p w14:paraId="6BC7BD76" w14:textId="53491C12" w:rsidR="00930B7C" w:rsidRDefault="00930B7C" w:rsidP="00930B7C">
            <w:pPr>
              <w:spacing w:after="0"/>
              <w:rPr>
                <w:b/>
              </w:rPr>
            </w:pPr>
            <w:r>
              <w:rPr>
                <w:b/>
              </w:rPr>
              <w:t>8.</w:t>
            </w:r>
          </w:p>
          <w:p w14:paraId="68BC397F" w14:textId="77777777" w:rsidR="00930B7C" w:rsidRDefault="00930B7C" w:rsidP="00930B7C">
            <w:pPr>
              <w:spacing w:after="0"/>
              <w:rPr>
                <w:b/>
              </w:rPr>
            </w:pPr>
          </w:p>
          <w:p w14:paraId="17F6B10E" w14:textId="77777777" w:rsidR="00930B7C" w:rsidRDefault="00930B7C" w:rsidP="00930B7C">
            <w:pPr>
              <w:spacing w:after="0"/>
              <w:rPr>
                <w:b/>
              </w:rPr>
            </w:pPr>
          </w:p>
          <w:p w14:paraId="6DF3197C" w14:textId="77777777" w:rsidR="00930B7C" w:rsidRDefault="00930B7C" w:rsidP="00930B7C">
            <w:pPr>
              <w:spacing w:after="0"/>
              <w:rPr>
                <w:b/>
              </w:rPr>
            </w:pPr>
          </w:p>
          <w:p w14:paraId="22259B1E" w14:textId="77777777" w:rsidR="00930B7C" w:rsidRDefault="00930B7C" w:rsidP="00930B7C">
            <w:pPr>
              <w:spacing w:after="0"/>
              <w:rPr>
                <w:b/>
              </w:rPr>
            </w:pPr>
          </w:p>
          <w:p w14:paraId="17BC8520" w14:textId="77777777" w:rsidR="00930B7C" w:rsidRDefault="00930B7C" w:rsidP="00930B7C">
            <w:pPr>
              <w:spacing w:after="0"/>
              <w:rPr>
                <w:b/>
              </w:rPr>
            </w:pPr>
          </w:p>
          <w:p w14:paraId="364BCB15" w14:textId="77777777" w:rsidR="00930B7C" w:rsidRDefault="00930B7C" w:rsidP="00930B7C">
            <w:pPr>
              <w:spacing w:after="0"/>
              <w:rPr>
                <w:b/>
              </w:rPr>
            </w:pPr>
          </w:p>
          <w:p w14:paraId="14BAAFC9" w14:textId="77777777" w:rsidR="00930B7C" w:rsidRDefault="00930B7C" w:rsidP="00930B7C">
            <w:pPr>
              <w:spacing w:after="0"/>
              <w:rPr>
                <w:b/>
              </w:rPr>
            </w:pPr>
          </w:p>
          <w:p w14:paraId="58F66C9D" w14:textId="6313431D" w:rsidR="00930B7C" w:rsidRPr="001469A2" w:rsidRDefault="00930B7C" w:rsidP="00930B7C">
            <w:pPr>
              <w:spacing w:after="0"/>
              <w:rPr>
                <w:b/>
              </w:rPr>
            </w:pPr>
          </w:p>
        </w:tc>
        <w:tc>
          <w:tcPr>
            <w:tcW w:w="1260" w:type="dxa"/>
          </w:tcPr>
          <w:p w14:paraId="00B19E87" w14:textId="53D3649B" w:rsidR="00930B7C" w:rsidRPr="00912F16" w:rsidRDefault="00930B7C" w:rsidP="00930B7C">
            <w:pPr>
              <w:spacing w:after="0"/>
              <w:jc w:val="both"/>
              <w:rPr>
                <w:rFonts w:ascii="Sylfaen" w:hAnsi="Sylfaen"/>
                <w:b/>
                <w:sz w:val="20"/>
                <w:szCs w:val="20"/>
              </w:rPr>
            </w:pPr>
            <w:r w:rsidRPr="00AF1422">
              <w:rPr>
                <w:b/>
                <w:highlight w:val="yellow"/>
              </w:rPr>
              <w:t>Çështja C1</w:t>
            </w:r>
            <w:r>
              <w:t xml:space="preserve"> - Klasifikimi joadekuat i shpenzimeve</w:t>
            </w:r>
          </w:p>
        </w:tc>
        <w:tc>
          <w:tcPr>
            <w:tcW w:w="5400" w:type="dxa"/>
          </w:tcPr>
          <w:p w14:paraId="72219BB2" w14:textId="77777777" w:rsidR="00930B7C" w:rsidRDefault="00930B7C" w:rsidP="00930B7C">
            <w:pPr>
              <w:spacing w:after="0"/>
              <w:jc w:val="both"/>
            </w:pPr>
            <w:r>
              <w:t xml:space="preserve">Me planin kontabël definohet se shpenzimet duhet të regjistrohen në kategoritë adekuate ekonomike. Gjithashtu, Udhëzimi Administrativ Nr. 2005/08 për klasifikimin ekonomik të shpenzimeve përshkruan qartë definicionet e kategorive ekonomike që i përdor Thesari për të regjistruar dhe raportuar shpenzimet. </w:t>
            </w:r>
          </w:p>
          <w:p w14:paraId="46FDCFE7" w14:textId="0E5F0011" w:rsidR="00930B7C" w:rsidRPr="00EC6E6F" w:rsidRDefault="00930B7C" w:rsidP="00930B7C">
            <w:pPr>
              <w:spacing w:after="0"/>
              <w:jc w:val="both"/>
              <w:rPr>
                <w:rFonts w:cstheme="minorHAnsi"/>
              </w:rPr>
            </w:pPr>
            <w:r>
              <w:t>Pagesa e faturës në vlerë 7,000€ për furnizim me material ndërtimor për 13 renovimin e shtëpive të komuniteteve jo-shumicë, ishte bërë nga kategoria e investimeve kapitale, ndonëse shpenzimi i takon kategorisë së subvencioneve. Kjo ka ndodhur për shkak të mos planifikimit të duhur të shpenzimit në kategorinë përkatëse ekonomike.</w:t>
            </w:r>
          </w:p>
        </w:tc>
        <w:tc>
          <w:tcPr>
            <w:tcW w:w="3060" w:type="dxa"/>
          </w:tcPr>
          <w:p w14:paraId="121DB999" w14:textId="24C56EFC" w:rsidR="00930B7C" w:rsidRPr="00EC6E6F" w:rsidRDefault="00930B7C" w:rsidP="00930B7C">
            <w:pPr>
              <w:spacing w:after="0"/>
              <w:jc w:val="both"/>
              <w:rPr>
                <w:rFonts w:cstheme="minorHAnsi"/>
              </w:rPr>
            </w:pPr>
            <w:r>
              <w:t>Kryetari duhet të sigurojë që shpenzimet të planifikohen në kategoritë adekuate të buxhetit apo të ri-destinohen mjetet kur është e nevojshme dhe e mundshme, dhe që pagesa e shpenzimeve të realizohet nga buxheti i kategorisë adekuate ekonomike.</w:t>
            </w:r>
          </w:p>
        </w:tc>
        <w:tc>
          <w:tcPr>
            <w:tcW w:w="1980" w:type="dxa"/>
          </w:tcPr>
          <w:p w14:paraId="1965CC8B" w14:textId="22BA554C" w:rsidR="00930B7C" w:rsidRPr="00EC6E6F" w:rsidRDefault="00930B7C" w:rsidP="00EB4867">
            <w:pPr>
              <w:spacing w:after="0"/>
              <w:rPr>
                <w:rFonts w:cstheme="minorHAnsi"/>
              </w:rPr>
            </w:pPr>
            <w:r>
              <w:rPr>
                <w:rFonts w:cstheme="minorHAnsi"/>
              </w:rPr>
              <w:t xml:space="preserve">Do të zbatohet ky </w:t>
            </w:r>
            <w:r w:rsidR="00EB4867">
              <w:rPr>
                <w:rFonts w:cstheme="minorHAnsi"/>
              </w:rPr>
              <w:t>r</w:t>
            </w:r>
            <w:r>
              <w:rPr>
                <w:rFonts w:cstheme="minorHAnsi"/>
              </w:rPr>
              <w:t>ekomandim sepse pagesat për kategori të shpenzimeve do të bëhen nga kodet adekuate (subvencione dhe transfere) dhe jo nga kategoria investime kapitale.</w:t>
            </w:r>
          </w:p>
        </w:tc>
        <w:tc>
          <w:tcPr>
            <w:tcW w:w="1350" w:type="dxa"/>
          </w:tcPr>
          <w:p w14:paraId="63E7584A" w14:textId="2BF636E4" w:rsidR="00930B7C" w:rsidRPr="00EC6E6F" w:rsidRDefault="00930B7C" w:rsidP="00930B7C">
            <w:pPr>
              <w:spacing w:after="0"/>
              <w:rPr>
                <w:rFonts w:cstheme="minorHAnsi"/>
              </w:rPr>
            </w:pPr>
            <w:r>
              <w:rPr>
                <w:rFonts w:cstheme="minorHAnsi"/>
              </w:rPr>
              <w:t>Drejtoria për Buxhet dhe Financa,Drejtoria për Bujqësi Pylltari dhe Zhvillim Rural dhe Drejtoria për Shëndetësi dhe Përkujdesje Sociale</w:t>
            </w:r>
          </w:p>
        </w:tc>
        <w:tc>
          <w:tcPr>
            <w:tcW w:w="810" w:type="dxa"/>
          </w:tcPr>
          <w:p w14:paraId="3D3301D3" w14:textId="183E8B00" w:rsidR="00930B7C" w:rsidRPr="00912F16" w:rsidRDefault="00EB4867" w:rsidP="00930B7C">
            <w:pPr>
              <w:spacing w:after="0"/>
              <w:rPr>
                <w:rFonts w:ascii="Book Antiqua" w:hAnsi="Book Antiqua" w:cs="Book Antiqua"/>
                <w:color w:val="000000"/>
                <w:sz w:val="20"/>
                <w:szCs w:val="20"/>
                <w:lang w:val="sr-Latn-RS"/>
              </w:rPr>
            </w:pPr>
            <w:r>
              <w:rPr>
                <w:rFonts w:cstheme="minorHAnsi"/>
              </w:rPr>
              <w:t>Konsiderojmë se ky rekomandim është zbatuar gjatë vitit 2023.</w:t>
            </w:r>
          </w:p>
        </w:tc>
        <w:tc>
          <w:tcPr>
            <w:tcW w:w="905" w:type="dxa"/>
          </w:tcPr>
          <w:p w14:paraId="68D9C78D" w14:textId="77777777" w:rsidR="00930B7C" w:rsidRPr="00912F16" w:rsidRDefault="00930B7C" w:rsidP="00930B7C">
            <w:pPr>
              <w:spacing w:after="0"/>
              <w:rPr>
                <w:sz w:val="20"/>
                <w:szCs w:val="20"/>
              </w:rPr>
            </w:pPr>
          </w:p>
        </w:tc>
      </w:tr>
      <w:tr w:rsidR="00930B7C" w:rsidRPr="00912F16" w14:paraId="140CE386" w14:textId="77777777" w:rsidTr="00F23493">
        <w:trPr>
          <w:trHeight w:val="4"/>
          <w:jc w:val="center"/>
        </w:trPr>
        <w:tc>
          <w:tcPr>
            <w:tcW w:w="535" w:type="dxa"/>
          </w:tcPr>
          <w:p w14:paraId="0AA0915A" w14:textId="1EBD36C9" w:rsidR="00930B7C" w:rsidRDefault="00930B7C" w:rsidP="00930B7C">
            <w:pPr>
              <w:spacing w:after="0"/>
            </w:pPr>
            <w:r w:rsidRPr="00AF1422">
              <w:rPr>
                <w:b/>
              </w:rPr>
              <w:t>9</w:t>
            </w:r>
            <w:r>
              <w:t>.</w:t>
            </w:r>
          </w:p>
          <w:p w14:paraId="4CF4D1EE" w14:textId="77777777" w:rsidR="00930B7C" w:rsidRDefault="00930B7C" w:rsidP="00930B7C">
            <w:pPr>
              <w:spacing w:after="0"/>
            </w:pPr>
          </w:p>
          <w:p w14:paraId="6726860E" w14:textId="77777777" w:rsidR="00930B7C" w:rsidRDefault="00930B7C" w:rsidP="00930B7C">
            <w:pPr>
              <w:spacing w:after="0"/>
            </w:pPr>
          </w:p>
          <w:p w14:paraId="4BF1A4D2" w14:textId="77777777" w:rsidR="00930B7C" w:rsidRDefault="00930B7C" w:rsidP="00930B7C">
            <w:pPr>
              <w:spacing w:after="0"/>
            </w:pPr>
          </w:p>
          <w:p w14:paraId="104CEF0C" w14:textId="77777777" w:rsidR="00930B7C" w:rsidRDefault="00930B7C" w:rsidP="00930B7C">
            <w:pPr>
              <w:spacing w:after="0"/>
            </w:pPr>
          </w:p>
          <w:p w14:paraId="727B6245" w14:textId="77777777" w:rsidR="00930B7C" w:rsidRDefault="00930B7C" w:rsidP="00930B7C">
            <w:pPr>
              <w:spacing w:after="0"/>
            </w:pPr>
          </w:p>
          <w:p w14:paraId="0275D2C7" w14:textId="77777777" w:rsidR="00930B7C" w:rsidRDefault="00930B7C" w:rsidP="00930B7C">
            <w:pPr>
              <w:spacing w:after="0"/>
            </w:pPr>
          </w:p>
          <w:p w14:paraId="7D23CA5F" w14:textId="77777777" w:rsidR="00930B7C" w:rsidRDefault="00930B7C" w:rsidP="00930B7C">
            <w:pPr>
              <w:spacing w:after="0"/>
            </w:pPr>
          </w:p>
          <w:p w14:paraId="6117938D" w14:textId="77777777" w:rsidR="00930B7C" w:rsidRDefault="00930B7C" w:rsidP="00930B7C">
            <w:pPr>
              <w:spacing w:after="0"/>
            </w:pPr>
          </w:p>
          <w:p w14:paraId="60846E80" w14:textId="77777777" w:rsidR="00930B7C" w:rsidRDefault="00930B7C" w:rsidP="00930B7C">
            <w:pPr>
              <w:spacing w:after="0"/>
            </w:pPr>
          </w:p>
          <w:p w14:paraId="538FFC04" w14:textId="77777777" w:rsidR="00930B7C" w:rsidRDefault="00930B7C" w:rsidP="00930B7C">
            <w:pPr>
              <w:spacing w:after="0"/>
            </w:pPr>
          </w:p>
          <w:p w14:paraId="55C40549" w14:textId="526857C7" w:rsidR="00930B7C" w:rsidRPr="001469A2" w:rsidRDefault="00930B7C" w:rsidP="00930B7C">
            <w:pPr>
              <w:spacing w:after="0"/>
              <w:rPr>
                <w:b/>
              </w:rPr>
            </w:pPr>
          </w:p>
        </w:tc>
        <w:tc>
          <w:tcPr>
            <w:tcW w:w="1260" w:type="dxa"/>
          </w:tcPr>
          <w:p w14:paraId="5C0BA792" w14:textId="403A940C" w:rsidR="00930B7C" w:rsidRPr="00912F16" w:rsidRDefault="00930B7C" w:rsidP="00930B7C">
            <w:pPr>
              <w:spacing w:after="0"/>
              <w:jc w:val="center"/>
              <w:rPr>
                <w:b/>
                <w:sz w:val="20"/>
                <w:szCs w:val="20"/>
                <w:lang w:val="sr-Latn-RS"/>
              </w:rPr>
            </w:pPr>
            <w:r w:rsidRPr="00AF1422">
              <w:rPr>
                <w:b/>
                <w:highlight w:val="yellow"/>
              </w:rPr>
              <w:t>Çështja A4</w:t>
            </w:r>
            <w:r>
              <w:t xml:space="preserve"> - Parregullsi në menaxhimin e kontratave publike të kontraktuara përmes procedurës me çmim të poentuar (peshuar)</w:t>
            </w:r>
          </w:p>
        </w:tc>
        <w:tc>
          <w:tcPr>
            <w:tcW w:w="5400" w:type="dxa"/>
          </w:tcPr>
          <w:p w14:paraId="3EB20F23" w14:textId="77777777" w:rsidR="00930B7C" w:rsidRDefault="00930B7C" w:rsidP="00930B7C">
            <w:pPr>
              <w:spacing w:after="0" w:line="240" w:lineRule="auto"/>
              <w:jc w:val="both"/>
            </w:pPr>
            <w:r>
              <w:t xml:space="preserve">Siç shpjegohet me pikën 54.15 të Rregullores nr. 001/2022 për prokurimin publik, Kurdo që Autoriteti kontraktues (AK) nuk dine sasitë indikative, kontratat me çmime për njësi, AK duhet të përcaktoj peshët në baze të rëndësisë se secilës “kategori të shërbimeve" ose secilit "artikull" në mënyrë që Autoriteti Kontraktues të përcaktoj se cila është oferta me çmim më të ulët. Në këto raste nuk vlen pragu apo tavani +/- 30%. </w:t>
            </w:r>
          </w:p>
          <w:p w14:paraId="7E59ACF2" w14:textId="77777777" w:rsidR="00930B7C" w:rsidRDefault="00930B7C" w:rsidP="00930B7C">
            <w:pPr>
              <w:spacing w:after="0" w:line="240" w:lineRule="auto"/>
              <w:jc w:val="both"/>
            </w:pPr>
            <w:r>
              <w:t xml:space="preserve">Gjithashtu, në shpjegimin nr. 68, të KRPP-së, përcaktohet se AK duhet të luajnë një rol aktiv në përcaktimin sa më të saktë të vlerës së parashikuar e më këtë edhe vlerës së kontratës (të realizuar). Duke pasur parasysh faktin se peshimi i artikujve duhet bërë bazuar në peshën dhe në rëndësinë e kategorisë përkatëse, kjo nënkupton që edhe sasia e realizuar (shpenzuar) nuk mund dhe nuk duhet të ndryshoj nga raportet sipas peshës së dhënë, por të ruajnë të njëjtin raport. Funksioni i vetëm i peshimit të çmimit gjatë kontraktimit është që të përcaktohet kontrata me çmimin më të ulët. </w:t>
            </w:r>
          </w:p>
          <w:p w14:paraId="0975C502" w14:textId="77777777" w:rsidR="00930B7C" w:rsidRDefault="00930B7C" w:rsidP="00930B7C">
            <w:pPr>
              <w:spacing w:after="0" w:line="240" w:lineRule="auto"/>
              <w:jc w:val="both"/>
            </w:pPr>
            <w:r>
              <w:lastRenderedPageBreak/>
              <w:t xml:space="preserve">Gjatë realizimit të (3) tri kontratave publike me çmim të poentuar, nuk është ruajtur raporti ndërmjet sasisë apo përqindjes së realizuara të kategorisë, dhe peshës apo përqindjes së dhënë gjatë kontraktimit asaj kategorie. Rastet janë hasur te: </w:t>
            </w:r>
          </w:p>
          <w:p w14:paraId="3A990854" w14:textId="77777777" w:rsidR="00930B7C" w:rsidRDefault="00930B7C" w:rsidP="00930B7C">
            <w:pPr>
              <w:spacing w:after="0" w:line="240" w:lineRule="auto"/>
              <w:jc w:val="both"/>
            </w:pPr>
            <w:r>
              <w:t xml:space="preserve">• Kontrata publike Hartimi i projekteve te ndryshme, me vlerë totale të parashikuar 350,000€, janë përcaktuar 7 kategori ku secilës kategori i është përcaktuar pesha apo përqindja e shpenzimit. Për kategorinë I.G - Projektimi i urave, mbikalimeve, trotuareve, etj. e peshuar 10% të vlerës së përgjithshme të kontratës ose 35,000€, vetëm për situacionin e parë të punimeve, për këtë kategori ishin shpenzuar 212,004€ apo 61% e vlerës së përgjithshme të kontratës, duke tejkaluar me 51% vlerën e parashikuar. Kjo kategori kishte çmimin më të lartë 3.08€ të peshuar në krahasim me kategoritë tjera (0.11€, 0.13€, 0.16€, 0.12€, 1.73€). Kontrata është fituar nga OE që ka ofruar çmimin e peshuar më të ulët, përderisa realizimi i 61% të kontratës është bërë për kategorinë me çmimin më të lartë. </w:t>
            </w:r>
          </w:p>
          <w:p w14:paraId="2B7835BA" w14:textId="5EAB53D6" w:rsidR="00930B7C" w:rsidRDefault="00930B7C" w:rsidP="00930B7C">
            <w:pPr>
              <w:spacing w:after="0" w:line="240" w:lineRule="auto"/>
              <w:jc w:val="both"/>
            </w:pPr>
            <w:r>
              <w:t xml:space="preserve">• Kontrata publike, Mbikëqyrja e investimeve kapitale, në vlerë totale të parashikuar 80,000€, ishte kontraktuar bazuar në çmimin për njësi dhe duke përcaktuar rëndësinë dhe peshën (%) e dhënë për secilën kategori/pozicion. Paramasa apo specifikacioni teknik ishte ndarë në pesë kategori kryesore, të peshuara me përqindje sipas shpenzimit. Për kategorinë E- projekte të objekteve ndërtimore të ndryshme, e peshuar 10% e vlerës së përgjithshme të kontratës ose 8,000€, ishin shpenzuar 62,085€ apo 78% e vlerës së përgjithshme të kontratës. </w:t>
            </w:r>
          </w:p>
          <w:p w14:paraId="198F5E06" w14:textId="77777777" w:rsidR="00930B7C" w:rsidRDefault="00930B7C" w:rsidP="00930B7C">
            <w:pPr>
              <w:spacing w:after="0" w:line="240" w:lineRule="auto"/>
              <w:jc w:val="both"/>
            </w:pPr>
            <w:r>
              <w:t>• Kontrata publike, Sinjalizimi horizontal dhe vertikal i rrugëve, në vlerë totale të parashikuar 150,000€, ishte kontraktuar bazuar në çmimin për njësi dhe duke përcaktuar rëndësinë dhe peshën (%) e dhënë për secilën kategori/pozicion. Paramasa apo specifikacioni teknik ishte ndarë në pesë kategori kryesore, të peshuara me përqindje sipas shpenzimit. Për kategorinë 1 - shenjëzime horizontale të komunikacionit, e peshuar 22% e vlerës së përgjithshme të kontratës ose 33,000€, ishin shpenzuar 84,623€ apo 56% e vlerës së përgjithshme të kontratës.</w:t>
            </w:r>
          </w:p>
          <w:p w14:paraId="58543507" w14:textId="77777777" w:rsidR="00930B7C" w:rsidRDefault="00930B7C" w:rsidP="00930B7C">
            <w:pPr>
              <w:spacing w:after="0" w:line="240" w:lineRule="auto"/>
              <w:jc w:val="both"/>
            </w:pPr>
            <w:r>
              <w:t xml:space="preserve">Gjithashtu, këto kontrata gabimisht ishin konsideruar kontrata publike kornizë, ku devijimi i lejuar është </w:t>
            </w:r>
            <w:r>
              <w:lastRenderedPageBreak/>
              <w:t>përcaktuar +/- 30%, ndonëse te kontratat publike me peshim nuk vlen pragu +/- 30% .</w:t>
            </w:r>
          </w:p>
          <w:p w14:paraId="30D06A6B" w14:textId="7F3967E8" w:rsidR="00930B7C" w:rsidRPr="00330EA7" w:rsidRDefault="00930B7C" w:rsidP="00930B7C">
            <w:pPr>
              <w:spacing w:after="0" w:line="240" w:lineRule="auto"/>
              <w:jc w:val="both"/>
              <w:rPr>
                <w:rFonts w:cstheme="minorHAnsi"/>
              </w:rPr>
            </w:pPr>
            <w:r>
              <w:t>Kjo kishte ndodhur për shkak të planifikimit të dobët të nevojave nga njësia kërkuese dhe mungesës së kontrolleve adekuate në menaxhimin e kontratave.</w:t>
            </w:r>
          </w:p>
        </w:tc>
        <w:tc>
          <w:tcPr>
            <w:tcW w:w="3060" w:type="dxa"/>
          </w:tcPr>
          <w:p w14:paraId="468F6A68" w14:textId="69DD776F" w:rsidR="00930B7C" w:rsidRPr="00EC6E6F" w:rsidRDefault="00930B7C" w:rsidP="00930B7C">
            <w:pPr>
              <w:spacing w:after="0"/>
              <w:jc w:val="both"/>
              <w:rPr>
                <w:rFonts w:cstheme="minorHAnsi"/>
              </w:rPr>
            </w:pPr>
            <w:r>
              <w:lastRenderedPageBreak/>
              <w:t>Kryetari duhet të sigurojë se te kontratat publike të kontraktuara përmes procedurës me çmim të peshuar, raporti i peshimit apo përqindjes së përcaktuar për kategoritë të jetë i njëjtë edhe gjatë realizimit përkatësisht pagesave.</w:t>
            </w:r>
          </w:p>
        </w:tc>
        <w:tc>
          <w:tcPr>
            <w:tcW w:w="1980" w:type="dxa"/>
          </w:tcPr>
          <w:p w14:paraId="06F1E1F7" w14:textId="7F76C5C9" w:rsidR="00930B7C" w:rsidRPr="00EC6E6F" w:rsidRDefault="00930B7C" w:rsidP="00930B7C">
            <w:pPr>
              <w:spacing w:after="0"/>
              <w:jc w:val="center"/>
              <w:rPr>
                <w:rFonts w:cstheme="minorHAnsi"/>
              </w:rPr>
            </w:pPr>
            <w:r>
              <w:rPr>
                <w:rFonts w:cstheme="minorHAnsi"/>
              </w:rPr>
              <w:t xml:space="preserve">Konsiderojmë se ky rekomandim, </w:t>
            </w:r>
            <w:r w:rsidR="00EB4867">
              <w:rPr>
                <w:rFonts w:cstheme="minorHAnsi"/>
              </w:rPr>
              <w:t xml:space="preserve">është zbatuar </w:t>
            </w:r>
            <w:r w:rsidR="00EC3BC0">
              <w:rPr>
                <w:rFonts w:cstheme="minorHAnsi"/>
              </w:rPr>
              <w:t>gjatë vitit 2023</w:t>
            </w:r>
            <w:r w:rsidR="00EB4867">
              <w:rPr>
                <w:rFonts w:cstheme="minorHAnsi"/>
              </w:rPr>
              <w:t>.</w:t>
            </w:r>
          </w:p>
        </w:tc>
        <w:tc>
          <w:tcPr>
            <w:tcW w:w="1350" w:type="dxa"/>
          </w:tcPr>
          <w:p w14:paraId="49E72735" w14:textId="77777777" w:rsidR="00930B7C" w:rsidRPr="00EC6E6F" w:rsidRDefault="00930B7C" w:rsidP="00AD4BF6">
            <w:pPr>
              <w:rPr>
                <w:rFonts w:cstheme="minorHAnsi"/>
              </w:rPr>
            </w:pPr>
            <w:r>
              <w:rPr>
                <w:rFonts w:cstheme="minorHAnsi"/>
              </w:rPr>
              <w:t>Drejtoria përkatese dhe Zyra e Prokurimit.</w:t>
            </w:r>
          </w:p>
          <w:p w14:paraId="2621B663" w14:textId="6665AB60" w:rsidR="00930B7C" w:rsidRPr="00EC6E6F" w:rsidRDefault="00930B7C" w:rsidP="00930B7C">
            <w:pPr>
              <w:spacing w:after="0"/>
              <w:rPr>
                <w:rFonts w:cstheme="minorHAnsi"/>
              </w:rPr>
            </w:pPr>
          </w:p>
        </w:tc>
        <w:tc>
          <w:tcPr>
            <w:tcW w:w="810" w:type="dxa"/>
          </w:tcPr>
          <w:p w14:paraId="765EC9C1" w14:textId="325CE745" w:rsidR="00930B7C" w:rsidRPr="00912F16" w:rsidRDefault="00930B7C" w:rsidP="00930B7C">
            <w:pPr>
              <w:spacing w:after="0"/>
              <w:rPr>
                <w:rFonts w:ascii="Book Antiqua" w:hAnsi="Book Antiqua" w:cs="Book Antiqua"/>
                <w:color w:val="000000"/>
                <w:sz w:val="20"/>
                <w:szCs w:val="20"/>
                <w:lang w:val="sr-Latn-RS"/>
              </w:rPr>
            </w:pPr>
            <w:r>
              <w:rPr>
                <w:rFonts w:ascii="Book Antiqua" w:hAnsi="Book Antiqua" w:cs="Book Antiqua"/>
                <w:color w:val="000000"/>
                <w:sz w:val="20"/>
                <w:szCs w:val="20"/>
                <w:lang w:val="sr-Latn-RS"/>
              </w:rPr>
              <w:t>2023</w:t>
            </w:r>
          </w:p>
        </w:tc>
        <w:tc>
          <w:tcPr>
            <w:tcW w:w="905" w:type="dxa"/>
          </w:tcPr>
          <w:p w14:paraId="2D6EF07E" w14:textId="77777777" w:rsidR="00930B7C" w:rsidRPr="00912F16" w:rsidRDefault="00930B7C" w:rsidP="00930B7C">
            <w:pPr>
              <w:spacing w:after="0"/>
              <w:rPr>
                <w:rFonts w:ascii="Book Antiqua" w:hAnsi="Book Antiqua" w:cs="Book Antiqua"/>
                <w:color w:val="000000"/>
                <w:sz w:val="20"/>
                <w:szCs w:val="20"/>
                <w:lang w:val="sr-Latn-RS"/>
              </w:rPr>
            </w:pPr>
          </w:p>
        </w:tc>
      </w:tr>
    </w:tbl>
    <w:p w14:paraId="54A9D18A" w14:textId="77777777" w:rsidR="00BC156F" w:rsidRDefault="00BC156F" w:rsidP="00732CA2">
      <w:pPr>
        <w:spacing w:after="0"/>
      </w:pPr>
    </w:p>
    <w:p w14:paraId="11D88ADB" w14:textId="77777777" w:rsidR="00BC156F" w:rsidRDefault="00BC156F" w:rsidP="00732CA2">
      <w:pPr>
        <w:spacing w:after="0"/>
      </w:pPr>
    </w:p>
    <w:p w14:paraId="3B53A05E" w14:textId="77777777" w:rsidR="00BC156F" w:rsidRPr="0050456B" w:rsidRDefault="00BC156F" w:rsidP="00732CA2">
      <w:pPr>
        <w:spacing w:after="0"/>
      </w:pPr>
    </w:p>
    <w:p w14:paraId="2CABC972" w14:textId="77777777" w:rsidR="00747C1E" w:rsidRDefault="00747C1E" w:rsidP="00732CA2">
      <w:pPr>
        <w:spacing w:after="0"/>
      </w:pPr>
    </w:p>
    <w:sectPr w:rsidR="00747C1E" w:rsidSect="00EE0285">
      <w:pgSz w:w="15840" w:h="12240" w:orient="landscape" w:code="1"/>
      <w:pgMar w:top="360" w:right="360" w:bottom="360" w:left="3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6F"/>
    <w:rsid w:val="0001432D"/>
    <w:rsid w:val="0005494F"/>
    <w:rsid w:val="0007246A"/>
    <w:rsid w:val="00094930"/>
    <w:rsid w:val="0015166E"/>
    <w:rsid w:val="00156E57"/>
    <w:rsid w:val="0021018E"/>
    <w:rsid w:val="00286106"/>
    <w:rsid w:val="0030094C"/>
    <w:rsid w:val="004133CC"/>
    <w:rsid w:val="00682433"/>
    <w:rsid w:val="00697B19"/>
    <w:rsid w:val="00732CA2"/>
    <w:rsid w:val="00737B8C"/>
    <w:rsid w:val="00747C1E"/>
    <w:rsid w:val="00756E9B"/>
    <w:rsid w:val="0084353B"/>
    <w:rsid w:val="0085588C"/>
    <w:rsid w:val="008B621F"/>
    <w:rsid w:val="00930B7C"/>
    <w:rsid w:val="00990ED8"/>
    <w:rsid w:val="009A0B31"/>
    <w:rsid w:val="009A39C1"/>
    <w:rsid w:val="009E2B48"/>
    <w:rsid w:val="00A51FC9"/>
    <w:rsid w:val="00AD4BF6"/>
    <w:rsid w:val="00AF1422"/>
    <w:rsid w:val="00B130AF"/>
    <w:rsid w:val="00B90AD8"/>
    <w:rsid w:val="00BC156F"/>
    <w:rsid w:val="00C95122"/>
    <w:rsid w:val="00C95AE5"/>
    <w:rsid w:val="00CE2D63"/>
    <w:rsid w:val="00CF0D4F"/>
    <w:rsid w:val="00CF66B1"/>
    <w:rsid w:val="00D0078A"/>
    <w:rsid w:val="00D5480E"/>
    <w:rsid w:val="00D602C0"/>
    <w:rsid w:val="00D636DD"/>
    <w:rsid w:val="00E247F3"/>
    <w:rsid w:val="00EA2240"/>
    <w:rsid w:val="00EB4867"/>
    <w:rsid w:val="00EC3BC0"/>
    <w:rsid w:val="00ED067E"/>
    <w:rsid w:val="00ED70CB"/>
    <w:rsid w:val="00F05FC5"/>
    <w:rsid w:val="00F23493"/>
    <w:rsid w:val="00F27A8F"/>
    <w:rsid w:val="00FA7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A21A"/>
  <w15:chartTrackingRefBased/>
  <w15:docId w15:val="{67A2351C-6AD5-4697-8929-4297B15D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56F"/>
    <w:pPr>
      <w:spacing w:after="200" w:line="27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019D-2828-4DAF-A82F-A28BF2A6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Fatmir Iska</dc:creator>
  <cp:keywords/>
  <dc:description/>
  <cp:lastModifiedBy>Afrim Limani</cp:lastModifiedBy>
  <cp:revision>5</cp:revision>
  <dcterms:created xsi:type="dcterms:W3CDTF">2024-03-11T10:42:00Z</dcterms:created>
  <dcterms:modified xsi:type="dcterms:W3CDTF">2024-03-11T13:29:00Z</dcterms:modified>
</cp:coreProperties>
</file>